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diagrams/data1.xml" ContentType="application/vnd.openxmlformats-officedocument.drawingml.diagramData+xml"/>
  <Override PartName="/word/diagrams/colors1.xml" ContentType="application/vnd.openxmlformats-officedocument.drawingml.diagramColors+xml"/>
  <Override PartName="/word/diagrams/quickStyle1.xml" ContentType="application/vnd.openxmlformats-officedocument.drawingml.diagramStyle+xml"/>
  <Override PartName="/word/diagrams/layout1.xml" ContentType="application/vnd.openxmlformats-officedocument.drawingml.diagramLayout+xml"/>
  <Override PartName="/word/diagrams/drawing1.xml" ContentType="application/vnd.openxmlformats-officedocument.drawingml.diagramDrawing+xml"/>
  <Override PartName="/word/media/image1.wmf" ContentType="image/x-wmf"/>
  <Override PartName="/word/media/image2.wmf" ContentType="image/x-wmf"/>
  <Override PartName="/word/media/image3.wmf" ContentType="image/x-wmf"/>
  <Override PartName="/word/media/image4.wmf" ContentType="image/x-wmf"/>
  <Override PartName="/word/media/image5.wmf" ContentType="image/x-wmf"/>
  <Override PartName="/word/media/image6.wmf" ContentType="image/x-wmf"/>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Default"/>
        <w:jc w:val="center"/>
        <w:rPr>
          <w:rFonts w:ascii="Calibri" w:hAnsi="Calibri" w:cs="Tahoma"/>
          <w:b/>
          <w:b/>
          <w:bCs/>
          <w:color w:val="0070C0"/>
          <w:sz w:val="96"/>
          <w:szCs w:val="48"/>
        </w:rPr>
      </w:pPr>
      <w:r>
        <w:rPr>
          <w:rFonts w:cs="Tahoma" w:ascii="Calibri" w:hAnsi="Calibri"/>
          <w:b/>
          <w:bCs/>
          <w:color w:val="0070C0"/>
          <w:sz w:val="96"/>
          <w:szCs w:val="48"/>
        </w:rPr>
      </w:r>
    </w:p>
    <w:p>
      <w:pPr>
        <w:pStyle w:val="Default"/>
        <w:jc w:val="center"/>
        <w:rPr>
          <w:rFonts w:ascii="Calibri" w:hAnsi="Calibri" w:cs="Tahoma"/>
          <w:b/>
          <w:b/>
          <w:bCs/>
          <w:color w:val="0070C0"/>
          <w:sz w:val="96"/>
          <w:szCs w:val="48"/>
        </w:rPr>
      </w:pPr>
      <w:r>
        <w:rPr>
          <w:rFonts w:cs="Tahoma" w:ascii="Calibri" w:hAnsi="Calibri"/>
          <w:b/>
          <w:bCs/>
          <w:color w:val="0070C0"/>
          <w:sz w:val="96"/>
          <w:szCs w:val="48"/>
        </w:rPr>
      </w:r>
    </w:p>
    <w:p>
      <w:pPr>
        <w:pStyle w:val="Default"/>
        <w:jc w:val="center"/>
        <w:rPr>
          <w:rFonts w:ascii="Calibri" w:hAnsi="Calibri" w:cs="Tahoma"/>
          <w:b/>
          <w:b/>
          <w:bCs/>
          <w:color w:val="0070C0"/>
          <w:sz w:val="96"/>
          <w:szCs w:val="48"/>
        </w:rPr>
      </w:pPr>
      <w:r>
        <w:rPr>
          <w:rFonts w:cs="Tahoma" w:ascii="Calibri" w:hAnsi="Calibri"/>
          <w:b/>
          <w:bCs/>
          <w:color w:val="0070C0"/>
          <w:sz w:val="96"/>
          <w:szCs w:val="48"/>
        </w:rPr>
        <w:t xml:space="preserve">  </w:t>
      </w:r>
    </w:p>
    <w:p>
      <w:pPr>
        <w:pStyle w:val="Default"/>
        <w:jc w:val="center"/>
        <w:rPr>
          <w:rFonts w:ascii="Calibri" w:hAnsi="Calibri" w:cs="Tahoma"/>
          <w:b/>
          <w:b/>
          <w:bCs/>
          <w:color w:val="0070C0"/>
          <w:sz w:val="96"/>
          <w:szCs w:val="48"/>
        </w:rPr>
      </w:pPr>
      <w:r>
        <w:rPr>
          <w:rFonts w:cs="Tahoma" w:ascii="Calibri" w:hAnsi="Calibri"/>
          <w:b/>
          <w:bCs/>
          <w:color w:val="0070C0"/>
          <w:sz w:val="96"/>
          <w:szCs w:val="48"/>
        </w:rPr>
      </w:r>
    </w:p>
    <w:p>
      <w:pPr>
        <w:pStyle w:val="Default"/>
        <w:jc w:val="center"/>
        <w:rPr>
          <w:rFonts w:ascii="Calibri" w:hAnsi="Calibri" w:cs="Tahoma"/>
          <w:b/>
          <w:b/>
          <w:bCs/>
          <w:color w:val="0070C0"/>
          <w:sz w:val="56"/>
          <w:szCs w:val="48"/>
        </w:rPr>
      </w:pPr>
      <w:bookmarkStart w:id="0" w:name="_GoBack"/>
      <w:bookmarkEnd w:id="0"/>
      <w:r>
        <w:rPr>
          <w:rFonts w:cs="Tahoma" w:ascii="Calibri" w:hAnsi="Calibri"/>
          <w:b/>
          <w:bCs/>
          <w:color w:val="0070C0"/>
          <w:sz w:val="56"/>
          <w:szCs w:val="48"/>
        </w:rPr>
        <w:t>Health and Safety Statement</w:t>
      </w:r>
    </w:p>
    <w:p>
      <w:pPr>
        <w:pStyle w:val="Default"/>
        <w:jc w:val="center"/>
        <w:rPr>
          <w:rFonts w:ascii="Calibri" w:hAnsi="Calibri" w:cs="Tahoma"/>
          <w:b/>
          <w:b/>
          <w:bCs/>
          <w:color w:val="0070C0"/>
          <w:sz w:val="56"/>
          <w:szCs w:val="48"/>
        </w:rPr>
      </w:pPr>
      <w:r>
        <w:rPr>
          <w:rFonts w:cs="Tahoma" w:ascii="Calibri" w:hAnsi="Calibri"/>
          <w:b/>
          <w:bCs/>
          <w:color w:val="0070C0"/>
          <w:sz w:val="56"/>
          <w:szCs w:val="48"/>
        </w:rPr>
      </w:r>
    </w:p>
    <w:p>
      <w:pPr>
        <w:pStyle w:val="Normal"/>
        <w:shd w:val="clear" w:color="auto" w:fill="0070C0"/>
        <w:jc w:val="center"/>
        <w:rPr>
          <w:rFonts w:cs="Arial"/>
          <w:b/>
          <w:b/>
          <w:sz w:val="56"/>
        </w:rPr>
      </w:pPr>
      <w:r>
        <w:rPr>
          <w:rFonts w:cs="Arial"/>
          <w:b/>
          <w:sz w:val="56"/>
        </w:rPr>
        <w:t>TOGHER BOYS’ NATIONAL SCHOOL</w:t>
      </w:r>
    </w:p>
    <w:p>
      <w:pPr>
        <w:pStyle w:val="Default"/>
        <w:jc w:val="center"/>
        <w:rPr>
          <w:rFonts w:ascii="Calibri" w:hAnsi="Calibri" w:cs="Tahoma"/>
          <w:b/>
          <w:b/>
          <w:bCs/>
          <w:color w:val="0070C0"/>
          <w:sz w:val="56"/>
          <w:szCs w:val="48"/>
        </w:rPr>
      </w:pPr>
      <w:r>
        <w:rPr>
          <w:rFonts w:cs="Tahoma" w:ascii="Calibri" w:hAnsi="Calibri"/>
          <w:b/>
          <w:bCs/>
          <w:color w:val="0070C0"/>
          <w:sz w:val="56"/>
          <w:szCs w:val="48"/>
        </w:rPr>
      </w:r>
    </w:p>
    <w:p>
      <w:pPr>
        <w:pStyle w:val="Normal"/>
        <w:spacing w:lineRule="auto" w:line="240"/>
        <w:rPr>
          <w:sz w:val="24"/>
          <w:szCs w:val="24"/>
        </w:rPr>
      </w:pPr>
      <w:r>
        <w:rPr>
          <w:sz w:val="24"/>
          <w:szCs w:val="24"/>
        </w:rPr>
      </w:r>
    </w:p>
    <w:p>
      <w:pPr>
        <w:pStyle w:val="Normal"/>
        <w:spacing w:lineRule="auto" w:line="240"/>
        <w:rPr>
          <w:sz w:val="24"/>
          <w:szCs w:val="24"/>
        </w:rPr>
      </w:pPr>
      <w:r>
        <w:rPr>
          <w:sz w:val="24"/>
          <w:szCs w:val="24"/>
        </w:rPr>
      </w:r>
    </w:p>
    <w:p>
      <w:pPr>
        <w:pStyle w:val="Normal"/>
        <w:spacing w:lineRule="auto" w:line="240"/>
        <w:rPr>
          <w:szCs w:val="24"/>
        </w:rPr>
      </w:pPr>
      <w:r>
        <w:rPr>
          <w:szCs w:val="24"/>
        </w:rPr>
      </w:r>
    </w:p>
    <w:p>
      <w:pPr>
        <w:pStyle w:val="Normal"/>
        <w:spacing w:lineRule="auto" w:line="240"/>
        <w:jc w:val="both"/>
        <w:rPr>
          <w:szCs w:val="24"/>
        </w:rPr>
      </w:pPr>
      <w:r>
        <w:rPr>
          <w:szCs w:val="24"/>
        </w:rPr>
        <w:t xml:space="preserve">                                                                                                                                                                           </w:t>
      </w:r>
    </w:p>
    <w:p>
      <w:pPr>
        <w:pStyle w:val="Normal"/>
        <w:spacing w:lineRule="auto" w:line="240"/>
        <w:jc w:val="both"/>
        <w:rPr>
          <w:szCs w:val="24"/>
        </w:rPr>
      </w:pPr>
      <w:r>
        <w:rPr>
          <w:szCs w:val="24"/>
        </w:rPr>
      </w:r>
    </w:p>
    <w:p>
      <w:pPr>
        <w:pStyle w:val="Normal"/>
        <w:spacing w:lineRule="auto" w:line="240"/>
        <w:jc w:val="both"/>
        <w:rPr>
          <w:szCs w:val="24"/>
        </w:rPr>
      </w:pPr>
      <w:r>
        <w:rPr>
          <w:szCs w:val="24"/>
        </w:rPr>
      </w:r>
    </w:p>
    <w:p>
      <w:pPr>
        <w:pStyle w:val="Normal"/>
        <w:spacing w:lineRule="auto" w:line="240"/>
        <w:jc w:val="both"/>
        <w:rPr>
          <w:szCs w:val="24"/>
        </w:rPr>
      </w:pPr>
      <w:r>
        <w:rPr>
          <w:szCs w:val="24"/>
        </w:rPr>
      </w:r>
    </w:p>
    <w:p>
      <w:pPr>
        <w:pStyle w:val="Normal"/>
        <w:spacing w:lineRule="auto" w:line="240"/>
        <w:jc w:val="both"/>
        <w:rPr>
          <w:szCs w:val="24"/>
        </w:rPr>
      </w:pPr>
      <w:r>
        <w:rPr>
          <w:szCs w:val="24"/>
        </w:rPr>
      </w:r>
    </w:p>
    <w:p>
      <w:pPr>
        <w:pStyle w:val="Normal"/>
        <w:spacing w:lineRule="auto" w:line="240"/>
        <w:jc w:val="both"/>
        <w:rPr>
          <w:szCs w:val="24"/>
        </w:rPr>
      </w:pPr>
      <w:r>
        <w:rPr>
          <w:szCs w:val="24"/>
        </w:rPr>
      </w:r>
    </w:p>
    <w:p>
      <w:pPr>
        <w:pStyle w:val="Normal"/>
        <w:spacing w:lineRule="auto" w:line="240"/>
        <w:jc w:val="both"/>
        <w:rPr>
          <w:szCs w:val="24"/>
        </w:rPr>
      </w:pPr>
      <w:r>
        <w:rPr>
          <w:szCs w:val="24"/>
        </w:rPr>
      </w:r>
    </w:p>
    <w:p>
      <w:pPr>
        <w:pStyle w:val="Normal"/>
        <w:spacing w:lineRule="auto" w:line="240"/>
        <w:jc w:val="center"/>
        <w:rPr>
          <w:i/>
          <w:i/>
          <w:szCs w:val="24"/>
        </w:rPr>
      </w:pPr>
      <w:r>
        <w:rPr>
          <w:i/>
          <w:szCs w:val="24"/>
        </w:rPr>
        <w:t>Issued in accordance with the Safety Health &amp; Welfare at Work Act 2005 and current associated legislation</w:t>
      </w:r>
    </w:p>
    <w:tbl>
      <w:tblPr>
        <w:tblW w:w="9605" w:type="dxa"/>
        <w:jc w:val="left"/>
        <w:tblInd w:w="0"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108" w:type="dxa"/>
          <w:bottom w:w="0" w:type="dxa"/>
          <w:right w:w="108" w:type="dxa"/>
        </w:tblCellMar>
        <w:tblLook w:firstRow="1" w:noVBand="0" w:lastRow="1" w:firstColumn="1" w:lastColumn="1" w:noHBand="0" w:val="01e0"/>
      </w:tblPr>
      <w:tblGrid>
        <w:gridCol w:w="1927"/>
        <w:gridCol w:w="964"/>
        <w:gridCol w:w="946"/>
        <w:gridCol w:w="2225"/>
        <w:gridCol w:w="3542"/>
      </w:tblGrid>
      <w:tr>
        <w:trPr>
          <w:trHeight w:val="699" w:hRule="atLeast"/>
        </w:trPr>
        <w:tc>
          <w:tcPr>
            <w:tcW w:w="9604" w:type="dxa"/>
            <w:gridSpan w:val="5"/>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Title"/>
              <w:spacing w:before="0" w:after="300"/>
              <w:contextualSpacing/>
              <w:jc w:val="center"/>
              <w:rPr>
                <w:rStyle w:val="BookTitle"/>
                <w:rFonts w:ascii="Calibri" w:hAnsi="Calibri"/>
              </w:rPr>
            </w:pPr>
            <w:r>
              <w:rPr>
                <w:rStyle w:val="BookTitle"/>
                <w:rFonts w:ascii="Calibri" w:hAnsi="Calibri"/>
              </w:rPr>
              <w:t>Document Revision History</w:t>
            </w:r>
          </w:p>
        </w:tc>
      </w:tr>
      <w:tr>
        <w:trPr>
          <w:trHeight w:val="786" w:hRule="atLeast"/>
        </w:trPr>
        <w:tc>
          <w:tcPr>
            <w:tcW w:w="2891"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Normal"/>
              <w:tabs>
                <w:tab w:val="left" w:pos="1440" w:leader="none"/>
                <w:tab w:val="right" w:pos="8640" w:leader="none"/>
              </w:tabs>
              <w:spacing w:lineRule="auto" w:line="240" w:before="0" w:after="200"/>
              <w:rPr>
                <w:b/>
                <w:b/>
                <w:color w:val="000000"/>
                <w:sz w:val="24"/>
                <w:szCs w:val="24"/>
              </w:rPr>
            </w:pPr>
            <w:r>
              <w:rPr>
                <w:b/>
                <w:color w:val="000000"/>
                <w:sz w:val="24"/>
                <w:szCs w:val="24"/>
              </w:rPr>
              <w:t>Document Name:</w:t>
            </w:r>
          </w:p>
        </w:tc>
        <w:tc>
          <w:tcPr>
            <w:tcW w:w="6713"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Normal"/>
              <w:tabs>
                <w:tab w:val="left" w:pos="1440" w:leader="none"/>
                <w:tab w:val="right" w:pos="8640" w:leader="none"/>
              </w:tabs>
              <w:spacing w:lineRule="auto" w:line="240" w:before="0" w:after="200"/>
              <w:rPr>
                <w:color w:val="000000"/>
                <w:sz w:val="24"/>
                <w:szCs w:val="24"/>
              </w:rPr>
            </w:pPr>
            <w:r>
              <w:rPr>
                <w:color w:val="000000"/>
                <w:sz w:val="24"/>
                <w:szCs w:val="24"/>
              </w:rPr>
              <w:t>Corporate Safety Statement</w:t>
            </w:r>
          </w:p>
        </w:tc>
      </w:tr>
      <w:tr>
        <w:trPr>
          <w:trHeight w:val="786" w:hRule="atLeast"/>
        </w:trPr>
        <w:tc>
          <w:tcPr>
            <w:tcW w:w="2891"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Normal"/>
              <w:tabs>
                <w:tab w:val="left" w:pos="1440" w:leader="none"/>
                <w:tab w:val="right" w:pos="8640" w:leader="none"/>
              </w:tabs>
              <w:spacing w:lineRule="auto" w:line="240" w:before="0" w:after="200"/>
              <w:rPr>
                <w:b/>
                <w:b/>
                <w:color w:val="000000"/>
                <w:sz w:val="24"/>
                <w:szCs w:val="24"/>
              </w:rPr>
            </w:pPr>
            <w:r>
              <w:rPr>
                <w:b/>
                <w:color w:val="000000"/>
                <w:sz w:val="24"/>
                <w:szCs w:val="24"/>
              </w:rPr>
              <w:t>Revision No:</w:t>
            </w:r>
          </w:p>
        </w:tc>
        <w:tc>
          <w:tcPr>
            <w:tcW w:w="6713"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Normal"/>
              <w:tabs>
                <w:tab w:val="left" w:pos="1440" w:leader="none"/>
                <w:tab w:val="right" w:pos="8640" w:leader="none"/>
              </w:tabs>
              <w:spacing w:lineRule="auto" w:line="240" w:before="0" w:after="0"/>
              <w:rPr>
                <w:color w:val="000000"/>
                <w:sz w:val="24"/>
                <w:szCs w:val="24"/>
              </w:rPr>
            </w:pPr>
            <w:r>
              <w:rPr>
                <w:color w:val="000000"/>
                <w:sz w:val="24"/>
                <w:szCs w:val="24"/>
              </w:rPr>
              <w:t>HSSRA Rev 01</w:t>
            </w:r>
          </w:p>
          <w:p>
            <w:pPr>
              <w:pStyle w:val="Normal"/>
              <w:tabs>
                <w:tab w:val="left" w:pos="1440" w:leader="none"/>
                <w:tab w:val="right" w:pos="8640" w:leader="none"/>
              </w:tabs>
              <w:spacing w:lineRule="auto" w:line="240" w:before="0" w:after="0"/>
              <w:rPr>
                <w:color w:val="000000"/>
                <w:sz w:val="24"/>
                <w:szCs w:val="24"/>
              </w:rPr>
            </w:pPr>
            <w:r>
              <w:rPr>
                <w:color w:val="000000"/>
                <w:sz w:val="24"/>
                <w:szCs w:val="24"/>
              </w:rPr>
              <w:t>May 2017</w:t>
            </w:r>
          </w:p>
        </w:tc>
      </w:tr>
      <w:tr>
        <w:trPr>
          <w:trHeight w:val="786" w:hRule="atLeast"/>
        </w:trPr>
        <w:tc>
          <w:tcPr>
            <w:tcW w:w="2891"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Normal"/>
              <w:tabs>
                <w:tab w:val="left" w:pos="1440" w:leader="none"/>
                <w:tab w:val="right" w:pos="8640" w:leader="none"/>
              </w:tabs>
              <w:spacing w:lineRule="auto" w:line="240" w:before="0" w:after="200"/>
              <w:rPr>
                <w:b/>
                <w:b/>
                <w:color w:val="000000"/>
                <w:sz w:val="24"/>
                <w:szCs w:val="24"/>
              </w:rPr>
            </w:pPr>
            <w:r>
              <w:rPr>
                <w:b/>
                <w:color w:val="000000"/>
                <w:sz w:val="24"/>
                <w:szCs w:val="24"/>
              </w:rPr>
              <w:t>Date of next review:</w:t>
            </w:r>
          </w:p>
        </w:tc>
        <w:tc>
          <w:tcPr>
            <w:tcW w:w="6713"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Normal"/>
              <w:tabs>
                <w:tab w:val="left" w:pos="1440" w:leader="none"/>
                <w:tab w:val="right" w:pos="8640" w:leader="none"/>
              </w:tabs>
              <w:spacing w:lineRule="auto" w:line="240" w:before="0" w:after="200"/>
              <w:rPr>
                <w:color w:val="000000"/>
                <w:sz w:val="24"/>
                <w:szCs w:val="24"/>
              </w:rPr>
            </w:pPr>
            <w:r>
              <w:rPr>
                <w:color w:val="000000"/>
                <w:sz w:val="24"/>
                <w:szCs w:val="24"/>
              </w:rPr>
              <w:t>May 2018</w:t>
            </w:r>
          </w:p>
        </w:tc>
      </w:tr>
      <w:tr>
        <w:trPr>
          <w:trHeight w:val="786" w:hRule="atLeast"/>
        </w:trPr>
        <w:tc>
          <w:tcPr>
            <w:tcW w:w="2891"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Normal"/>
              <w:tabs>
                <w:tab w:val="left" w:pos="1440" w:leader="none"/>
                <w:tab w:val="right" w:pos="8640" w:leader="none"/>
              </w:tabs>
              <w:spacing w:lineRule="auto" w:line="240" w:before="0" w:after="200"/>
              <w:rPr>
                <w:b/>
                <w:b/>
                <w:color w:val="000000"/>
                <w:sz w:val="24"/>
                <w:szCs w:val="24"/>
              </w:rPr>
            </w:pPr>
            <w:r>
              <w:rPr>
                <w:b/>
                <w:color w:val="000000"/>
                <w:sz w:val="24"/>
                <w:szCs w:val="24"/>
              </w:rPr>
              <w:t>Date of Authorisation:</w:t>
            </w:r>
          </w:p>
        </w:tc>
        <w:tc>
          <w:tcPr>
            <w:tcW w:w="6713"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Normal"/>
              <w:tabs>
                <w:tab w:val="left" w:pos="1440" w:leader="none"/>
                <w:tab w:val="right" w:pos="8640" w:leader="none"/>
              </w:tabs>
              <w:spacing w:lineRule="auto" w:line="240" w:before="0" w:after="200"/>
              <w:rPr>
                <w:color w:val="000000"/>
                <w:sz w:val="24"/>
                <w:szCs w:val="24"/>
              </w:rPr>
            </w:pPr>
            <w:r>
              <w:rPr>
                <w:color w:val="000000"/>
                <w:sz w:val="24"/>
                <w:szCs w:val="24"/>
              </w:rPr>
              <w:t xml:space="preserve"> </w:t>
            </w:r>
            <w:r>
              <w:rPr>
                <w:color w:val="000000"/>
                <w:sz w:val="24"/>
                <w:szCs w:val="24"/>
              </w:rPr>
              <w:t>May 2017</w:t>
            </w:r>
          </w:p>
        </w:tc>
      </w:tr>
      <w:tr>
        <w:trPr>
          <w:trHeight w:val="786" w:hRule="atLeast"/>
        </w:trPr>
        <w:tc>
          <w:tcPr>
            <w:tcW w:w="2891"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Normal"/>
              <w:tabs>
                <w:tab w:val="left" w:pos="1440" w:leader="none"/>
                <w:tab w:val="right" w:pos="8640" w:leader="none"/>
              </w:tabs>
              <w:spacing w:lineRule="auto" w:line="240" w:before="0" w:after="200"/>
              <w:rPr>
                <w:b/>
                <w:b/>
                <w:color w:val="000000"/>
                <w:sz w:val="24"/>
                <w:szCs w:val="24"/>
              </w:rPr>
            </w:pPr>
            <w:r>
              <w:rPr>
                <w:b/>
                <w:color w:val="000000"/>
                <w:sz w:val="24"/>
                <w:szCs w:val="24"/>
              </w:rPr>
              <w:t>Corporate Document Owner:</w:t>
            </w:r>
          </w:p>
        </w:tc>
        <w:tc>
          <w:tcPr>
            <w:tcW w:w="6713"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Normal"/>
              <w:tabs>
                <w:tab w:val="left" w:pos="1440" w:leader="none"/>
                <w:tab w:val="right" w:pos="8640" w:leader="none"/>
              </w:tabs>
              <w:spacing w:lineRule="auto" w:line="240" w:before="0" w:after="200"/>
              <w:rPr>
                <w:color w:val="000000"/>
                <w:sz w:val="24"/>
                <w:szCs w:val="24"/>
              </w:rPr>
            </w:pPr>
            <w:r>
              <w:rPr>
                <w:color w:val="000000"/>
                <w:sz w:val="24"/>
                <w:szCs w:val="24"/>
              </w:rPr>
              <w:t xml:space="preserve"> </w:t>
            </w:r>
            <w:r>
              <w:rPr>
                <w:color w:val="000000"/>
                <w:sz w:val="24"/>
                <w:szCs w:val="24"/>
              </w:rPr>
              <w:t>Togher Boys’ National School</w:t>
            </w:r>
          </w:p>
        </w:tc>
      </w:tr>
      <w:tr>
        <w:trPr>
          <w:trHeight w:val="786" w:hRule="atLeast"/>
        </w:trPr>
        <w:tc>
          <w:tcPr>
            <w:tcW w:w="2891"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Normal"/>
              <w:tabs>
                <w:tab w:val="left" w:pos="1440" w:leader="none"/>
                <w:tab w:val="right" w:pos="8640" w:leader="none"/>
              </w:tabs>
              <w:spacing w:lineRule="auto" w:line="240" w:before="0" w:after="200"/>
              <w:rPr>
                <w:b/>
                <w:b/>
                <w:color w:val="000000"/>
                <w:sz w:val="24"/>
                <w:szCs w:val="24"/>
              </w:rPr>
            </w:pPr>
            <w:r>
              <w:rPr>
                <w:b/>
                <w:color w:val="000000"/>
                <w:sz w:val="24"/>
                <w:szCs w:val="24"/>
              </w:rPr>
              <w:t>Named Document Owner:</w:t>
            </w:r>
          </w:p>
        </w:tc>
        <w:tc>
          <w:tcPr>
            <w:tcW w:w="6713"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Normal"/>
              <w:tabs>
                <w:tab w:val="left" w:pos="1440" w:leader="none"/>
                <w:tab w:val="right" w:pos="8640" w:leader="none"/>
              </w:tabs>
              <w:spacing w:lineRule="auto" w:line="240" w:before="0" w:after="200"/>
              <w:rPr>
                <w:color w:val="000000"/>
                <w:sz w:val="24"/>
                <w:szCs w:val="24"/>
              </w:rPr>
            </w:pPr>
            <w:r>
              <w:rPr>
                <w:color w:val="000000"/>
                <w:sz w:val="24"/>
                <w:szCs w:val="24"/>
              </w:rPr>
              <w:t>Mr. Kieran Kelly</w:t>
            </w:r>
          </w:p>
        </w:tc>
      </w:tr>
      <w:tr>
        <w:trPr>
          <w:trHeight w:val="786" w:hRule="atLeast"/>
        </w:trPr>
        <w:tc>
          <w:tcPr>
            <w:tcW w:w="2891"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Normal"/>
              <w:tabs>
                <w:tab w:val="left" w:pos="1440" w:leader="none"/>
                <w:tab w:val="right" w:pos="8640" w:leader="none"/>
              </w:tabs>
              <w:spacing w:lineRule="auto" w:line="240" w:before="0" w:after="200"/>
              <w:rPr>
                <w:b/>
                <w:b/>
                <w:color w:val="000000"/>
                <w:sz w:val="24"/>
                <w:szCs w:val="24"/>
              </w:rPr>
            </w:pPr>
            <w:r>
              <w:rPr>
                <w:b/>
                <w:color w:val="000000"/>
                <w:sz w:val="24"/>
                <w:szCs w:val="24"/>
              </w:rPr>
              <w:t>Document Revised By:</w:t>
            </w:r>
          </w:p>
        </w:tc>
        <w:tc>
          <w:tcPr>
            <w:tcW w:w="6713"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Normal"/>
              <w:tabs>
                <w:tab w:val="left" w:pos="1440" w:leader="none"/>
                <w:tab w:val="right" w:pos="8640" w:leader="none"/>
              </w:tabs>
              <w:spacing w:lineRule="auto" w:line="240" w:before="0" w:after="200"/>
              <w:rPr>
                <w:color w:val="000000"/>
                <w:sz w:val="24"/>
                <w:szCs w:val="24"/>
              </w:rPr>
            </w:pPr>
            <w:r>
              <w:rPr>
                <w:color w:val="000000"/>
                <w:sz w:val="24"/>
                <w:szCs w:val="24"/>
              </w:rPr>
              <w:t>Board of Management</w:t>
            </w:r>
          </w:p>
        </w:tc>
      </w:tr>
      <w:tr>
        <w:trPr>
          <w:trHeight w:val="786" w:hRule="atLeast"/>
        </w:trPr>
        <w:tc>
          <w:tcPr>
            <w:tcW w:w="2891"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Normal"/>
              <w:tabs>
                <w:tab w:val="left" w:pos="1440" w:leader="none"/>
                <w:tab w:val="right" w:pos="8640" w:leader="none"/>
              </w:tabs>
              <w:spacing w:lineRule="auto" w:line="240" w:before="0" w:after="200"/>
              <w:rPr>
                <w:b/>
                <w:b/>
                <w:color w:val="000000"/>
                <w:sz w:val="24"/>
                <w:szCs w:val="24"/>
              </w:rPr>
            </w:pPr>
            <w:r>
              <w:rPr>
                <w:b/>
                <w:color w:val="000000"/>
                <w:sz w:val="24"/>
                <w:szCs w:val="24"/>
              </w:rPr>
              <w:t>Last Updated</w:t>
            </w:r>
          </w:p>
        </w:tc>
        <w:tc>
          <w:tcPr>
            <w:tcW w:w="6713"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Normal"/>
              <w:tabs>
                <w:tab w:val="left" w:pos="1440" w:leader="none"/>
                <w:tab w:val="right" w:pos="8640" w:leader="none"/>
              </w:tabs>
              <w:spacing w:lineRule="auto" w:line="240" w:before="0" w:after="200"/>
              <w:rPr>
                <w:color w:val="000000"/>
                <w:sz w:val="24"/>
                <w:szCs w:val="24"/>
              </w:rPr>
            </w:pPr>
            <w:r>
              <w:rPr>
                <w:color w:val="000000"/>
                <w:sz w:val="24"/>
                <w:szCs w:val="24"/>
              </w:rPr>
              <w:t>New Corporate Document</w:t>
            </w:r>
          </w:p>
        </w:tc>
      </w:tr>
      <w:tr>
        <w:trPr>
          <w:trHeight w:val="786" w:hRule="atLeast"/>
        </w:trPr>
        <w:tc>
          <w:tcPr>
            <w:tcW w:w="2891"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Normal"/>
              <w:tabs>
                <w:tab w:val="left" w:pos="1440" w:leader="none"/>
                <w:tab w:val="right" w:pos="8640" w:leader="none"/>
              </w:tabs>
              <w:spacing w:lineRule="auto" w:line="240" w:before="0" w:after="200"/>
              <w:rPr>
                <w:b/>
                <w:b/>
                <w:color w:val="000000"/>
                <w:sz w:val="24"/>
                <w:szCs w:val="24"/>
              </w:rPr>
            </w:pPr>
            <w:r>
              <w:rPr>
                <w:b/>
                <w:color w:val="000000"/>
                <w:sz w:val="24"/>
                <w:szCs w:val="24"/>
              </w:rPr>
              <w:t>Version</w:t>
            </w:r>
          </w:p>
        </w:tc>
        <w:tc>
          <w:tcPr>
            <w:tcW w:w="6713"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Normal"/>
              <w:tabs>
                <w:tab w:val="left" w:pos="1440" w:leader="none"/>
                <w:tab w:val="right" w:pos="8640" w:leader="none"/>
              </w:tabs>
              <w:spacing w:lineRule="auto" w:line="240" w:before="0" w:after="0"/>
              <w:rPr>
                <w:color w:val="000000"/>
                <w:sz w:val="24"/>
                <w:szCs w:val="24"/>
              </w:rPr>
            </w:pPr>
            <w:r>
              <w:rPr>
                <w:color w:val="000000"/>
                <w:sz w:val="24"/>
                <w:szCs w:val="24"/>
              </w:rPr>
              <w:t xml:space="preserve">                                                                                                                 </w:t>
            </w:r>
            <w:r>
              <w:rPr>
                <w:color w:val="000000"/>
                <w:sz w:val="24"/>
                <w:szCs w:val="24"/>
              </w:rPr>
              <w:t>HSSRA Rev 01</w:t>
            </w:r>
          </w:p>
          <w:p>
            <w:pPr>
              <w:pStyle w:val="Normal"/>
              <w:tabs>
                <w:tab w:val="left" w:pos="1440" w:leader="none"/>
                <w:tab w:val="right" w:pos="8640" w:leader="none"/>
              </w:tabs>
              <w:spacing w:lineRule="auto" w:line="240" w:before="0" w:after="0"/>
              <w:rPr>
                <w:color w:val="000000"/>
                <w:sz w:val="24"/>
                <w:szCs w:val="24"/>
              </w:rPr>
            </w:pPr>
            <w:r>
              <w:rPr>
                <w:color w:val="000000"/>
                <w:sz w:val="24"/>
                <w:szCs w:val="24"/>
              </w:rPr>
            </w:r>
          </w:p>
        </w:tc>
      </w:tr>
      <w:tr>
        <w:trPr>
          <w:trHeight w:val="786" w:hRule="atLeast"/>
        </w:trPr>
        <w:tc>
          <w:tcPr>
            <w:tcW w:w="2891"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Normal"/>
              <w:tabs>
                <w:tab w:val="left" w:pos="1440" w:leader="none"/>
                <w:tab w:val="right" w:pos="8640" w:leader="none"/>
              </w:tabs>
              <w:spacing w:lineRule="auto" w:line="240" w:before="0" w:after="200"/>
              <w:rPr>
                <w:b/>
                <w:b/>
                <w:color w:val="000000"/>
                <w:sz w:val="24"/>
                <w:szCs w:val="24"/>
              </w:rPr>
            </w:pPr>
            <w:r>
              <w:rPr>
                <w:b/>
                <w:color w:val="000000"/>
                <w:sz w:val="24"/>
                <w:szCs w:val="24"/>
              </w:rPr>
              <w:t>Status</w:t>
            </w:r>
          </w:p>
        </w:tc>
        <w:tc>
          <w:tcPr>
            <w:tcW w:w="6713"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Normal"/>
              <w:tabs>
                <w:tab w:val="left" w:pos="1440" w:leader="none"/>
                <w:tab w:val="right" w:pos="8640" w:leader="none"/>
              </w:tabs>
              <w:spacing w:lineRule="auto" w:line="240" w:before="0" w:after="200"/>
              <w:rPr>
                <w:color w:val="000000"/>
                <w:sz w:val="24"/>
                <w:szCs w:val="24"/>
              </w:rPr>
            </w:pPr>
            <w:r>
              <w:rPr>
                <w:color w:val="000000"/>
                <w:sz w:val="24"/>
                <w:szCs w:val="24"/>
              </w:rPr>
              <w:t xml:space="preserve">Compliant with Current Health &amp; Safety Legislation </w:t>
            </w:r>
          </w:p>
        </w:tc>
      </w:tr>
      <w:tr>
        <w:trPr/>
        <w:tc>
          <w:tcPr>
            <w:tcW w:w="9604" w:type="dxa"/>
            <w:gridSpan w:val="5"/>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auto" w:fill="FDE9D9" w:val="clear"/>
            <w:tcMar>
              <w:left w:w="108" w:type="dxa"/>
            </w:tcMar>
          </w:tcPr>
          <w:p>
            <w:pPr>
              <w:pStyle w:val="Normal"/>
              <w:spacing w:lineRule="auto" w:line="240" w:before="0" w:after="0"/>
              <w:jc w:val="center"/>
              <w:rPr>
                <w:rStyle w:val="Emphasis"/>
                <w:b/>
                <w:b/>
                <w:bCs/>
                <w:color w:val="FF0000"/>
                <w:sz w:val="36"/>
              </w:rPr>
            </w:pPr>
            <w:r>
              <w:rPr>
                <w:rStyle w:val="Emphasis"/>
                <w:b/>
                <w:bCs/>
                <w:color w:val="FF0000"/>
                <w:sz w:val="36"/>
              </w:rPr>
              <w:t>Revision History</w:t>
            </w:r>
          </w:p>
        </w:tc>
      </w:tr>
      <w:tr>
        <w:trPr/>
        <w:tc>
          <w:tcPr>
            <w:tcW w:w="1927"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bottom"/>
          </w:tcPr>
          <w:p>
            <w:pPr>
              <w:pStyle w:val="Normal"/>
              <w:spacing w:lineRule="auto" w:line="240" w:before="0" w:after="200"/>
              <w:jc w:val="center"/>
              <w:rPr>
                <w:b/>
                <w:b/>
                <w:color w:val="000000"/>
                <w:sz w:val="24"/>
                <w:szCs w:val="24"/>
              </w:rPr>
            </w:pPr>
            <w:r>
              <w:rPr>
                <w:b/>
                <w:color w:val="000000"/>
                <w:sz w:val="24"/>
                <w:szCs w:val="24"/>
              </w:rPr>
              <w:t>Version No.</w:t>
            </w:r>
          </w:p>
        </w:tc>
        <w:tc>
          <w:tcPr>
            <w:tcW w:w="1910"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bottom"/>
          </w:tcPr>
          <w:p>
            <w:pPr>
              <w:pStyle w:val="Normal"/>
              <w:spacing w:lineRule="auto" w:line="240" w:before="0" w:after="200"/>
              <w:jc w:val="center"/>
              <w:rPr>
                <w:b/>
                <w:b/>
                <w:color w:val="000000"/>
                <w:sz w:val="24"/>
                <w:szCs w:val="24"/>
              </w:rPr>
            </w:pPr>
            <w:r>
              <w:rPr>
                <w:b/>
                <w:color w:val="000000"/>
                <w:sz w:val="24"/>
                <w:szCs w:val="24"/>
              </w:rPr>
              <w:t>Date</w:t>
            </w:r>
          </w:p>
        </w:tc>
        <w:tc>
          <w:tcPr>
            <w:tcW w:w="222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bottom"/>
          </w:tcPr>
          <w:p>
            <w:pPr>
              <w:pStyle w:val="Normal"/>
              <w:spacing w:lineRule="auto" w:line="240" w:before="0" w:after="200"/>
              <w:jc w:val="center"/>
              <w:rPr>
                <w:b/>
                <w:b/>
                <w:color w:val="000000"/>
                <w:sz w:val="24"/>
                <w:szCs w:val="24"/>
              </w:rPr>
            </w:pPr>
            <w:r>
              <w:rPr>
                <w:b/>
                <w:color w:val="000000"/>
                <w:sz w:val="24"/>
                <w:szCs w:val="24"/>
              </w:rPr>
              <w:t>Revised by</w:t>
            </w:r>
          </w:p>
        </w:tc>
        <w:tc>
          <w:tcPr>
            <w:tcW w:w="354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bottom"/>
          </w:tcPr>
          <w:p>
            <w:pPr>
              <w:pStyle w:val="Normal"/>
              <w:spacing w:lineRule="auto" w:line="240" w:before="0" w:after="200"/>
              <w:jc w:val="center"/>
              <w:rPr>
                <w:b/>
                <w:b/>
                <w:color w:val="000000"/>
                <w:sz w:val="24"/>
                <w:szCs w:val="24"/>
              </w:rPr>
            </w:pPr>
            <w:r>
              <w:rPr>
                <w:b/>
                <w:color w:val="000000"/>
                <w:sz w:val="24"/>
                <w:szCs w:val="24"/>
              </w:rPr>
              <w:t>Revision details</w:t>
            </w:r>
          </w:p>
        </w:tc>
      </w:tr>
      <w:tr>
        <w:trPr>
          <w:trHeight w:val="874" w:hRule="atLeast"/>
        </w:trPr>
        <w:tc>
          <w:tcPr>
            <w:tcW w:w="1927"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Normal"/>
              <w:tabs>
                <w:tab w:val="left" w:pos="1440" w:leader="none"/>
                <w:tab w:val="right" w:pos="8640" w:leader="none"/>
              </w:tabs>
              <w:spacing w:lineRule="auto" w:line="240" w:before="0" w:after="0"/>
              <w:rPr>
                <w:color w:val="000000"/>
                <w:sz w:val="24"/>
                <w:szCs w:val="24"/>
              </w:rPr>
            </w:pPr>
            <w:r>
              <w:rPr>
                <w:color w:val="000000"/>
                <w:sz w:val="24"/>
                <w:szCs w:val="24"/>
              </w:rPr>
            </w:r>
          </w:p>
          <w:p>
            <w:pPr>
              <w:pStyle w:val="Normal"/>
              <w:tabs>
                <w:tab w:val="left" w:pos="1440" w:leader="none"/>
                <w:tab w:val="right" w:pos="8640" w:leader="none"/>
              </w:tabs>
              <w:spacing w:lineRule="auto" w:line="240" w:before="0" w:after="0"/>
              <w:rPr>
                <w:color w:val="000000"/>
                <w:sz w:val="24"/>
                <w:szCs w:val="24"/>
              </w:rPr>
            </w:pPr>
            <w:r>
              <w:rPr>
                <w:color w:val="000000"/>
                <w:sz w:val="24"/>
                <w:szCs w:val="24"/>
              </w:rPr>
              <w:t>HSSRA Rev 01</w:t>
            </w:r>
          </w:p>
          <w:p>
            <w:pPr>
              <w:pStyle w:val="Normal"/>
              <w:spacing w:lineRule="auto" w:line="240" w:before="0" w:after="200"/>
              <w:rPr>
                <w:color w:val="000000"/>
                <w:sz w:val="24"/>
                <w:szCs w:val="24"/>
              </w:rPr>
            </w:pPr>
            <w:r>
              <w:rPr>
                <w:color w:val="000000"/>
                <w:sz w:val="24"/>
                <w:szCs w:val="24"/>
              </w:rPr>
            </w:r>
          </w:p>
        </w:tc>
        <w:tc>
          <w:tcPr>
            <w:tcW w:w="1910"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Normal"/>
              <w:spacing w:lineRule="auto" w:line="240" w:before="0" w:after="200"/>
              <w:rPr>
                <w:color w:val="000000"/>
                <w:sz w:val="24"/>
                <w:szCs w:val="24"/>
              </w:rPr>
            </w:pPr>
            <w:r>
              <w:rPr>
                <w:color w:val="000000"/>
                <w:sz w:val="24"/>
                <w:szCs w:val="24"/>
              </w:rPr>
              <w:t>May 2017</w:t>
            </w:r>
          </w:p>
        </w:tc>
        <w:tc>
          <w:tcPr>
            <w:tcW w:w="222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Normal"/>
              <w:spacing w:lineRule="auto" w:line="240" w:before="0" w:after="200"/>
              <w:rPr>
                <w:color w:val="000000"/>
                <w:sz w:val="24"/>
                <w:szCs w:val="24"/>
              </w:rPr>
            </w:pPr>
            <w:r>
              <w:rPr>
                <w:color w:val="000000"/>
                <w:sz w:val="24"/>
                <w:szCs w:val="24"/>
              </w:rPr>
              <w:t>Board of Management</w:t>
            </w:r>
          </w:p>
        </w:tc>
        <w:tc>
          <w:tcPr>
            <w:tcW w:w="354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Normal"/>
              <w:spacing w:lineRule="auto" w:line="240" w:before="0" w:after="200"/>
              <w:rPr>
                <w:color w:val="000000"/>
                <w:sz w:val="24"/>
                <w:szCs w:val="24"/>
              </w:rPr>
            </w:pPr>
            <w:r>
              <w:rPr>
                <w:color w:val="000000"/>
                <w:sz w:val="24"/>
                <w:szCs w:val="24"/>
              </w:rPr>
              <w:t>New Corporate Document</w:t>
            </w:r>
          </w:p>
        </w:tc>
      </w:tr>
      <w:tr>
        <w:trPr>
          <w:trHeight w:val="874" w:hRule="atLeast"/>
        </w:trPr>
        <w:tc>
          <w:tcPr>
            <w:tcW w:w="1927"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Normal"/>
              <w:spacing w:lineRule="auto" w:line="240" w:before="0" w:after="200"/>
              <w:rPr>
                <w:color w:val="000000"/>
                <w:sz w:val="24"/>
                <w:szCs w:val="24"/>
              </w:rPr>
            </w:pPr>
            <w:r>
              <w:rPr>
                <w:color w:val="000000"/>
                <w:sz w:val="24"/>
                <w:szCs w:val="24"/>
              </w:rPr>
            </w:r>
          </w:p>
        </w:tc>
        <w:tc>
          <w:tcPr>
            <w:tcW w:w="1910"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Normal"/>
              <w:spacing w:lineRule="auto" w:line="240" w:before="0" w:after="200"/>
              <w:rPr>
                <w:color w:val="000000"/>
                <w:sz w:val="24"/>
                <w:szCs w:val="24"/>
              </w:rPr>
            </w:pPr>
            <w:r>
              <w:rPr>
                <w:color w:val="000000"/>
                <w:sz w:val="24"/>
                <w:szCs w:val="24"/>
              </w:rPr>
            </w:r>
          </w:p>
        </w:tc>
        <w:tc>
          <w:tcPr>
            <w:tcW w:w="222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Normal"/>
              <w:spacing w:lineRule="auto" w:line="240" w:before="0" w:after="200"/>
              <w:rPr>
                <w:color w:val="000000"/>
                <w:sz w:val="24"/>
                <w:szCs w:val="24"/>
              </w:rPr>
            </w:pPr>
            <w:r>
              <w:rPr>
                <w:color w:val="000000"/>
                <w:sz w:val="24"/>
                <w:szCs w:val="24"/>
              </w:rPr>
            </w:r>
          </w:p>
        </w:tc>
        <w:tc>
          <w:tcPr>
            <w:tcW w:w="354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Normal"/>
              <w:spacing w:lineRule="auto" w:line="240" w:before="0" w:after="200"/>
              <w:rPr>
                <w:color w:val="000000"/>
                <w:sz w:val="24"/>
                <w:szCs w:val="24"/>
              </w:rPr>
            </w:pPr>
            <w:r>
              <w:rPr>
                <w:color w:val="000000"/>
                <w:sz w:val="24"/>
                <w:szCs w:val="24"/>
              </w:rPr>
            </w:r>
          </w:p>
        </w:tc>
      </w:tr>
      <w:tr>
        <w:trPr>
          <w:trHeight w:val="874" w:hRule="atLeast"/>
        </w:trPr>
        <w:tc>
          <w:tcPr>
            <w:tcW w:w="1927"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Normal"/>
              <w:spacing w:lineRule="auto" w:line="240" w:before="0" w:after="200"/>
              <w:rPr>
                <w:color w:val="000000"/>
                <w:sz w:val="24"/>
                <w:szCs w:val="24"/>
              </w:rPr>
            </w:pPr>
            <w:r>
              <w:rPr>
                <w:color w:val="000000"/>
                <w:sz w:val="24"/>
                <w:szCs w:val="24"/>
              </w:rPr>
            </w:r>
          </w:p>
        </w:tc>
        <w:tc>
          <w:tcPr>
            <w:tcW w:w="1910"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Normal"/>
              <w:spacing w:lineRule="auto" w:line="240" w:before="0" w:after="200"/>
              <w:rPr>
                <w:color w:val="000000"/>
                <w:sz w:val="24"/>
                <w:szCs w:val="24"/>
              </w:rPr>
            </w:pPr>
            <w:r>
              <w:rPr>
                <w:color w:val="000000"/>
                <w:sz w:val="24"/>
                <w:szCs w:val="24"/>
              </w:rPr>
            </w:r>
          </w:p>
        </w:tc>
        <w:tc>
          <w:tcPr>
            <w:tcW w:w="222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Normal"/>
              <w:spacing w:lineRule="auto" w:line="240" w:before="0" w:after="200"/>
              <w:rPr>
                <w:color w:val="000000"/>
                <w:sz w:val="24"/>
                <w:szCs w:val="24"/>
              </w:rPr>
            </w:pPr>
            <w:r>
              <w:rPr>
                <w:color w:val="000000"/>
                <w:sz w:val="24"/>
                <w:szCs w:val="24"/>
              </w:rPr>
            </w:r>
          </w:p>
        </w:tc>
        <w:tc>
          <w:tcPr>
            <w:tcW w:w="354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Normal"/>
              <w:spacing w:lineRule="auto" w:line="240" w:before="0" w:after="200"/>
              <w:rPr>
                <w:color w:val="000000"/>
                <w:sz w:val="24"/>
                <w:szCs w:val="24"/>
              </w:rPr>
            </w:pPr>
            <w:r>
              <w:rPr>
                <w:color w:val="000000"/>
                <w:sz w:val="24"/>
                <w:szCs w:val="24"/>
              </w:rPr>
            </w:r>
          </w:p>
        </w:tc>
      </w:tr>
      <w:tr>
        <w:trPr>
          <w:trHeight w:val="874" w:hRule="atLeast"/>
        </w:trPr>
        <w:tc>
          <w:tcPr>
            <w:tcW w:w="1927"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Normal"/>
              <w:spacing w:lineRule="auto" w:line="240" w:before="0" w:after="200"/>
              <w:rPr>
                <w:color w:val="000000"/>
                <w:sz w:val="24"/>
                <w:szCs w:val="24"/>
              </w:rPr>
            </w:pPr>
            <w:r>
              <w:rPr>
                <w:color w:val="000000"/>
                <w:sz w:val="24"/>
                <w:szCs w:val="24"/>
              </w:rPr>
            </w:r>
          </w:p>
        </w:tc>
        <w:tc>
          <w:tcPr>
            <w:tcW w:w="1910"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Normal"/>
              <w:spacing w:lineRule="auto" w:line="240" w:before="0" w:after="200"/>
              <w:rPr>
                <w:color w:val="000000"/>
                <w:sz w:val="24"/>
                <w:szCs w:val="24"/>
              </w:rPr>
            </w:pPr>
            <w:r>
              <w:rPr>
                <w:color w:val="000000"/>
                <w:sz w:val="24"/>
                <w:szCs w:val="24"/>
              </w:rPr>
            </w:r>
          </w:p>
        </w:tc>
        <w:tc>
          <w:tcPr>
            <w:tcW w:w="222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Normal"/>
              <w:spacing w:lineRule="auto" w:line="240" w:before="0" w:after="200"/>
              <w:rPr>
                <w:color w:val="000000"/>
                <w:sz w:val="24"/>
                <w:szCs w:val="24"/>
              </w:rPr>
            </w:pPr>
            <w:r>
              <w:rPr>
                <w:color w:val="000000"/>
                <w:sz w:val="24"/>
                <w:szCs w:val="24"/>
              </w:rPr>
            </w:r>
          </w:p>
        </w:tc>
        <w:tc>
          <w:tcPr>
            <w:tcW w:w="354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108" w:type="dxa"/>
            </w:tcMar>
            <w:vAlign w:val="center"/>
          </w:tcPr>
          <w:p>
            <w:pPr>
              <w:pStyle w:val="Normal"/>
              <w:spacing w:lineRule="auto" w:line="240" w:before="0" w:after="200"/>
              <w:rPr>
                <w:color w:val="000000"/>
                <w:sz w:val="24"/>
                <w:szCs w:val="24"/>
              </w:rPr>
            </w:pPr>
            <w:r>
              <w:rPr>
                <w:color w:val="000000"/>
                <w:sz w:val="24"/>
                <w:szCs w:val="24"/>
              </w:rPr>
            </w:r>
          </w:p>
        </w:tc>
      </w:tr>
    </w:tbl>
    <w:p>
      <w:pPr>
        <w:pStyle w:val="Default"/>
        <w:jc w:val="both"/>
        <w:rPr/>
      </w:pPr>
      <w:r>
        <w:br w:type="page"/>
      </w:r>
      <w:r>
        <w:rPr>
          <w:rFonts w:cs="Tahoma" w:ascii="Calibri" w:hAnsi="Calibri"/>
          <w:b/>
          <w:bCs/>
          <w:sz w:val="23"/>
          <w:szCs w:val="23"/>
        </w:rPr>
        <w:t xml:space="preserve">Contents </w:t>
      </w:r>
    </w:p>
    <w:p>
      <w:pPr>
        <w:pStyle w:val="Contents1"/>
        <w:tabs>
          <w:tab w:val="right" w:pos="10196" w:leader="underscore"/>
        </w:tabs>
        <w:rPr>
          <w:rFonts w:eastAsia="Times New Roman"/>
          <w:b w:val="false"/>
          <w:b w:val="false"/>
          <w:bCs w:val="false"/>
          <w:caps w:val="false"/>
          <w:smallCaps w:val="false"/>
          <w:sz w:val="22"/>
          <w:szCs w:val="22"/>
          <w:lang w:eastAsia="en-IE"/>
        </w:rPr>
      </w:pPr>
      <w:r>
        <w:fldChar w:fldCharType="begin"/>
      </w:r>
      <w:r>
        <w:instrText> TOC \o "1-2" \u \h</w:instrText>
      </w:r>
      <w:r>
        <w:fldChar w:fldCharType="separate"/>
      </w:r>
      <w:r>
        <w:rPr/>
        <w:t>1. HEALTH AND SAFETY POLICY</w:t>
        <w:tab/>
        <w:t>5</w:t>
      </w:r>
    </w:p>
    <w:p>
      <w:pPr>
        <w:pStyle w:val="Contents1"/>
        <w:tabs>
          <w:tab w:val="right" w:pos="10196" w:leader="underscore"/>
        </w:tabs>
        <w:rPr>
          <w:rFonts w:eastAsia="Times New Roman"/>
          <w:b w:val="false"/>
          <w:b w:val="false"/>
          <w:bCs w:val="false"/>
          <w:caps w:val="false"/>
          <w:smallCaps w:val="false"/>
          <w:sz w:val="22"/>
          <w:szCs w:val="22"/>
          <w:lang w:eastAsia="en-IE"/>
        </w:rPr>
      </w:pPr>
      <w:r>
        <w:rPr/>
        <w:t>2. Responsibilities</w:t>
        <w:tab/>
        <w:t>6</w:t>
      </w:r>
    </w:p>
    <w:p>
      <w:pPr>
        <w:pStyle w:val="Contents2"/>
        <w:tabs>
          <w:tab w:val="right" w:pos="10196" w:leader="underscore"/>
        </w:tabs>
        <w:rPr>
          <w:rFonts w:eastAsia="Times New Roman"/>
          <w:caps w:val="false"/>
          <w:smallCaps w:val="false"/>
          <w:sz w:val="22"/>
          <w:szCs w:val="22"/>
          <w:lang w:eastAsia="en-IE"/>
        </w:rPr>
      </w:pPr>
      <w:r>
        <w:rPr/>
        <w:t>2.1 Board of Management</w:t>
        <w:tab/>
        <w:t>6</w:t>
      </w:r>
    </w:p>
    <w:p>
      <w:pPr>
        <w:pStyle w:val="Contents2"/>
        <w:tabs>
          <w:tab w:val="right" w:pos="10196" w:leader="underscore"/>
        </w:tabs>
        <w:rPr>
          <w:rFonts w:eastAsia="Times New Roman"/>
          <w:caps w:val="false"/>
          <w:smallCaps w:val="false"/>
          <w:sz w:val="22"/>
          <w:szCs w:val="22"/>
          <w:lang w:eastAsia="en-IE"/>
        </w:rPr>
      </w:pPr>
      <w:r>
        <w:rPr/>
        <w:t>2.2 Chairperson</w:t>
        <w:tab/>
        <w:t>6</w:t>
      </w:r>
    </w:p>
    <w:p>
      <w:pPr>
        <w:pStyle w:val="Contents1"/>
        <w:tabs>
          <w:tab w:val="right" w:pos="10196" w:leader="underscore"/>
        </w:tabs>
        <w:rPr>
          <w:rFonts w:eastAsia="Times New Roman"/>
          <w:b w:val="false"/>
          <w:b w:val="false"/>
          <w:bCs w:val="false"/>
          <w:caps w:val="false"/>
          <w:smallCaps w:val="false"/>
          <w:sz w:val="22"/>
          <w:szCs w:val="22"/>
          <w:lang w:eastAsia="en-IE"/>
        </w:rPr>
      </w:pPr>
      <w:r>
        <w:rPr/>
        <w:t>3. Duties of Employers</w:t>
        <w:tab/>
        <w:t>7</w:t>
      </w:r>
    </w:p>
    <w:p>
      <w:pPr>
        <w:pStyle w:val="Contents2"/>
        <w:tabs>
          <w:tab w:val="right" w:pos="10196" w:leader="underscore"/>
        </w:tabs>
        <w:rPr>
          <w:rFonts w:eastAsia="Times New Roman"/>
          <w:caps w:val="false"/>
          <w:smallCaps w:val="false"/>
          <w:sz w:val="22"/>
          <w:szCs w:val="22"/>
          <w:lang w:eastAsia="en-IE"/>
        </w:rPr>
      </w:pPr>
      <w:r>
        <w:rPr/>
        <w:t>3.1 General Duties of Employers</w:t>
        <w:tab/>
        <w:t>7</w:t>
      </w:r>
    </w:p>
    <w:p>
      <w:pPr>
        <w:pStyle w:val="Contents2"/>
        <w:tabs>
          <w:tab w:val="right" w:pos="10196" w:leader="underscore"/>
        </w:tabs>
        <w:rPr>
          <w:rFonts w:eastAsia="Times New Roman"/>
          <w:caps w:val="false"/>
          <w:smallCaps w:val="false"/>
          <w:sz w:val="22"/>
          <w:szCs w:val="22"/>
          <w:lang w:eastAsia="en-IE"/>
        </w:rPr>
      </w:pPr>
      <w:r>
        <w:rPr/>
        <w:t>3.2 General Duties of Employees</w:t>
        <w:tab/>
        <w:t>7</w:t>
      </w:r>
    </w:p>
    <w:p>
      <w:pPr>
        <w:pStyle w:val="Contents2"/>
        <w:tabs>
          <w:tab w:val="right" w:pos="10196" w:leader="underscore"/>
        </w:tabs>
        <w:rPr>
          <w:rFonts w:eastAsia="Times New Roman"/>
          <w:caps w:val="false"/>
          <w:smallCaps w:val="false"/>
          <w:sz w:val="22"/>
          <w:szCs w:val="22"/>
          <w:lang w:eastAsia="en-IE"/>
        </w:rPr>
      </w:pPr>
      <w:r>
        <w:rPr/>
        <w:t>3.3 Duties imposed by legislation</w:t>
        <w:tab/>
        <w:t>8</w:t>
      </w:r>
    </w:p>
    <w:p>
      <w:pPr>
        <w:pStyle w:val="Contents2"/>
        <w:tabs>
          <w:tab w:val="right" w:pos="10196" w:leader="underscore"/>
        </w:tabs>
        <w:rPr>
          <w:rFonts w:eastAsia="Times New Roman"/>
          <w:caps w:val="false"/>
          <w:smallCaps w:val="false"/>
          <w:sz w:val="22"/>
          <w:szCs w:val="22"/>
          <w:lang w:eastAsia="en-IE"/>
        </w:rPr>
      </w:pPr>
      <w:r>
        <w:rPr/>
        <w:t>3.4 Consultation, Participation and Representation</w:t>
        <w:tab/>
        <w:t>10</w:t>
      </w:r>
    </w:p>
    <w:p>
      <w:pPr>
        <w:pStyle w:val="Contents1"/>
        <w:tabs>
          <w:tab w:val="right" w:pos="10196" w:leader="underscore"/>
        </w:tabs>
        <w:rPr>
          <w:rFonts w:eastAsia="Times New Roman"/>
          <w:b w:val="false"/>
          <w:b w:val="false"/>
          <w:bCs w:val="false"/>
          <w:caps w:val="false"/>
          <w:smallCaps w:val="false"/>
          <w:sz w:val="22"/>
          <w:szCs w:val="22"/>
          <w:lang w:eastAsia="en-IE"/>
        </w:rPr>
      </w:pPr>
      <w:r>
        <w:rPr/>
        <w:t>4. Promotion of the Safety Statement</w:t>
        <w:tab/>
        <w:t>11</w:t>
      </w:r>
    </w:p>
    <w:p>
      <w:pPr>
        <w:pStyle w:val="Contents2"/>
        <w:tabs>
          <w:tab w:val="right" w:pos="10196" w:leader="underscore"/>
        </w:tabs>
        <w:rPr>
          <w:rFonts w:eastAsia="Times New Roman"/>
          <w:caps w:val="false"/>
          <w:smallCaps w:val="false"/>
          <w:sz w:val="22"/>
          <w:szCs w:val="22"/>
          <w:lang w:eastAsia="en-IE"/>
        </w:rPr>
      </w:pPr>
      <w:r>
        <w:rPr/>
        <w:t>4.1 Implementation of the Safety Statement</w:t>
        <w:tab/>
        <w:t>11</w:t>
      </w:r>
    </w:p>
    <w:p>
      <w:pPr>
        <w:pStyle w:val="Contents1"/>
        <w:tabs>
          <w:tab w:val="right" w:pos="10196" w:leader="underscore"/>
        </w:tabs>
        <w:rPr>
          <w:rFonts w:eastAsia="Times New Roman"/>
          <w:b w:val="false"/>
          <w:b w:val="false"/>
          <w:bCs w:val="false"/>
          <w:caps w:val="false"/>
          <w:smallCaps w:val="false"/>
          <w:sz w:val="22"/>
          <w:szCs w:val="22"/>
          <w:lang w:eastAsia="en-IE"/>
        </w:rPr>
      </w:pPr>
      <w:r>
        <w:rPr/>
        <w:t>5. Procedure for Reporting Health and Safety Issues</w:t>
        <w:tab/>
        <w:t>11</w:t>
      </w:r>
    </w:p>
    <w:p>
      <w:pPr>
        <w:pStyle w:val="Contents1"/>
        <w:tabs>
          <w:tab w:val="right" w:pos="10196" w:leader="underscore"/>
        </w:tabs>
        <w:rPr>
          <w:rFonts w:eastAsia="Times New Roman"/>
          <w:b w:val="false"/>
          <w:b w:val="false"/>
          <w:bCs w:val="false"/>
          <w:caps w:val="false"/>
          <w:smallCaps w:val="false"/>
          <w:sz w:val="22"/>
          <w:szCs w:val="22"/>
          <w:lang w:eastAsia="en-IE"/>
        </w:rPr>
      </w:pPr>
      <w:r>
        <w:rPr/>
        <w:t>6. Hazards, Risks and Arrangements</w:t>
        <w:tab/>
        <w:t>12</w:t>
      </w:r>
    </w:p>
    <w:p>
      <w:pPr>
        <w:pStyle w:val="Contents2"/>
        <w:tabs>
          <w:tab w:val="right" w:pos="10196" w:leader="underscore"/>
        </w:tabs>
        <w:rPr>
          <w:rFonts w:eastAsia="Times New Roman"/>
          <w:caps w:val="false"/>
          <w:smallCaps w:val="false"/>
          <w:sz w:val="22"/>
          <w:szCs w:val="22"/>
          <w:lang w:eastAsia="en-IE"/>
        </w:rPr>
      </w:pPr>
      <w:r>
        <w:rPr/>
        <w:t>6.1 Hazard Identification</w:t>
        <w:tab/>
        <w:t>12</w:t>
      </w:r>
    </w:p>
    <w:p>
      <w:pPr>
        <w:pStyle w:val="Contents2"/>
        <w:tabs>
          <w:tab w:val="right" w:pos="10196" w:leader="underscore"/>
        </w:tabs>
        <w:rPr>
          <w:rFonts w:eastAsia="Times New Roman"/>
          <w:caps w:val="false"/>
          <w:smallCaps w:val="false"/>
          <w:sz w:val="22"/>
          <w:szCs w:val="22"/>
          <w:lang w:eastAsia="en-IE"/>
        </w:rPr>
      </w:pPr>
      <w:r>
        <w:rPr/>
        <w:t>6.2 Risk Assessment</w:t>
        <w:tab/>
        <w:t>13</w:t>
      </w:r>
    </w:p>
    <w:p>
      <w:pPr>
        <w:pStyle w:val="Contents2"/>
        <w:tabs>
          <w:tab w:val="right" w:pos="10196" w:leader="underscore"/>
        </w:tabs>
        <w:rPr>
          <w:rFonts w:eastAsia="Times New Roman"/>
          <w:caps w:val="false"/>
          <w:smallCaps w:val="false"/>
          <w:sz w:val="22"/>
          <w:szCs w:val="22"/>
          <w:lang w:eastAsia="en-IE"/>
        </w:rPr>
      </w:pPr>
      <w:r>
        <w:rPr/>
        <w:t>6.3 Implementing Control Measures</w:t>
        <w:tab/>
        <w:t>14</w:t>
      </w:r>
    </w:p>
    <w:p>
      <w:pPr>
        <w:pStyle w:val="Contents2"/>
        <w:tabs>
          <w:tab w:val="right" w:pos="10196" w:leader="underscore"/>
        </w:tabs>
        <w:rPr>
          <w:rFonts w:eastAsia="Times New Roman"/>
          <w:caps w:val="false"/>
          <w:smallCaps w:val="false"/>
          <w:sz w:val="22"/>
          <w:szCs w:val="22"/>
          <w:lang w:eastAsia="en-IE"/>
        </w:rPr>
      </w:pPr>
      <w:r>
        <w:rPr/>
        <w:t>6.4 Chemicals/Dangerous Substances Hazards</w:t>
        <w:tab/>
        <w:t>19</w:t>
      </w:r>
    </w:p>
    <w:p>
      <w:pPr>
        <w:pStyle w:val="Contents2"/>
        <w:tabs>
          <w:tab w:val="right" w:pos="10196" w:leader="underscore"/>
        </w:tabs>
        <w:rPr>
          <w:rFonts w:eastAsia="Times New Roman"/>
          <w:caps w:val="false"/>
          <w:smallCaps w:val="false"/>
          <w:sz w:val="22"/>
          <w:szCs w:val="22"/>
          <w:lang w:eastAsia="en-IE"/>
        </w:rPr>
      </w:pPr>
      <w:r>
        <w:rPr/>
        <w:t>6.5 Radiation Safety</w:t>
        <w:tab/>
        <w:t>21</w:t>
      </w:r>
    </w:p>
    <w:p>
      <w:pPr>
        <w:pStyle w:val="Contents2"/>
        <w:tabs>
          <w:tab w:val="right" w:pos="10196" w:leader="underscore"/>
        </w:tabs>
        <w:rPr>
          <w:rFonts w:eastAsia="Times New Roman"/>
          <w:caps w:val="false"/>
          <w:smallCaps w:val="false"/>
          <w:sz w:val="22"/>
          <w:szCs w:val="22"/>
          <w:lang w:eastAsia="en-IE"/>
        </w:rPr>
      </w:pPr>
      <w:r>
        <w:rPr/>
        <w:t>6.6 Physical and Psychological Hazards</w:t>
        <w:tab/>
        <w:t>21</w:t>
      </w:r>
    </w:p>
    <w:p>
      <w:pPr>
        <w:pStyle w:val="Contents2"/>
        <w:tabs>
          <w:tab w:val="right" w:pos="10196" w:leader="underscore"/>
        </w:tabs>
        <w:rPr>
          <w:rFonts w:eastAsia="Times New Roman"/>
          <w:caps w:val="false"/>
          <w:smallCaps w:val="false"/>
          <w:sz w:val="22"/>
          <w:szCs w:val="22"/>
          <w:lang w:eastAsia="en-IE"/>
        </w:rPr>
      </w:pPr>
      <w:r>
        <w:rPr/>
        <w:t>6.7 Biological Hazards</w:t>
        <w:tab/>
        <w:t>24</w:t>
      </w:r>
    </w:p>
    <w:p>
      <w:pPr>
        <w:pStyle w:val="Contents2"/>
        <w:tabs>
          <w:tab w:val="right" w:pos="10196" w:leader="underscore"/>
        </w:tabs>
        <w:rPr>
          <w:rFonts w:eastAsia="Times New Roman"/>
          <w:caps w:val="false"/>
          <w:smallCaps w:val="false"/>
          <w:sz w:val="22"/>
          <w:szCs w:val="22"/>
          <w:lang w:eastAsia="en-IE"/>
        </w:rPr>
      </w:pPr>
      <w:r>
        <w:rPr/>
        <w:t>6.8 Carcinogens</w:t>
        <w:tab/>
        <w:t>25</w:t>
      </w:r>
    </w:p>
    <w:p>
      <w:pPr>
        <w:pStyle w:val="Contents2"/>
        <w:tabs>
          <w:tab w:val="right" w:pos="10196" w:leader="underscore"/>
        </w:tabs>
        <w:rPr>
          <w:rFonts w:eastAsia="Times New Roman"/>
          <w:caps w:val="false"/>
          <w:smallCaps w:val="false"/>
          <w:sz w:val="22"/>
          <w:szCs w:val="22"/>
          <w:lang w:eastAsia="en-IE"/>
        </w:rPr>
      </w:pPr>
      <w:r>
        <w:rPr/>
        <w:t>6.9 Pregnant Employees</w:t>
        <w:tab/>
        <w:t>25</w:t>
      </w:r>
    </w:p>
    <w:p>
      <w:pPr>
        <w:pStyle w:val="Contents1"/>
        <w:tabs>
          <w:tab w:val="right" w:pos="10196" w:leader="underscore"/>
        </w:tabs>
        <w:rPr>
          <w:rFonts w:eastAsia="Times New Roman"/>
          <w:b w:val="false"/>
          <w:b w:val="false"/>
          <w:bCs w:val="false"/>
          <w:caps w:val="false"/>
          <w:smallCaps w:val="false"/>
          <w:sz w:val="22"/>
          <w:szCs w:val="22"/>
          <w:lang w:eastAsia="en-IE"/>
        </w:rPr>
      </w:pPr>
      <w:r>
        <w:rPr/>
        <w:t>7. Personal Protective Equipment (PPE)</w:t>
        <w:tab/>
        <w:t>26</w:t>
      </w:r>
    </w:p>
    <w:p>
      <w:pPr>
        <w:pStyle w:val="Contents2"/>
        <w:tabs>
          <w:tab w:val="right" w:pos="10196" w:leader="underscore"/>
        </w:tabs>
        <w:rPr>
          <w:rFonts w:eastAsia="Times New Roman"/>
          <w:caps w:val="false"/>
          <w:smallCaps w:val="false"/>
          <w:sz w:val="22"/>
          <w:szCs w:val="22"/>
          <w:lang w:eastAsia="en-IE"/>
        </w:rPr>
      </w:pPr>
      <w:r>
        <w:rPr/>
        <w:t>7.1 Gloves</w:t>
        <w:tab/>
        <w:t>26</w:t>
      </w:r>
    </w:p>
    <w:p>
      <w:pPr>
        <w:pStyle w:val="Contents2"/>
        <w:tabs>
          <w:tab w:val="right" w:pos="10196" w:leader="underscore"/>
        </w:tabs>
        <w:rPr>
          <w:rFonts w:eastAsia="Times New Roman"/>
          <w:caps w:val="false"/>
          <w:smallCaps w:val="false"/>
          <w:sz w:val="22"/>
          <w:szCs w:val="22"/>
          <w:lang w:eastAsia="en-IE"/>
        </w:rPr>
      </w:pPr>
      <w:r>
        <w:rPr/>
        <w:t>7.2 Eye Protection</w:t>
        <w:tab/>
        <w:t>26</w:t>
      </w:r>
    </w:p>
    <w:p>
      <w:pPr>
        <w:pStyle w:val="Contents2"/>
        <w:tabs>
          <w:tab w:val="right" w:pos="10196" w:leader="underscore"/>
        </w:tabs>
        <w:rPr>
          <w:rFonts w:eastAsia="Times New Roman"/>
          <w:caps w:val="false"/>
          <w:smallCaps w:val="false"/>
          <w:sz w:val="22"/>
          <w:szCs w:val="22"/>
          <w:lang w:eastAsia="en-IE"/>
        </w:rPr>
      </w:pPr>
      <w:r>
        <w:rPr/>
        <w:t>7.3 Respiratory protection</w:t>
        <w:tab/>
        <w:t>27</w:t>
      </w:r>
    </w:p>
    <w:p>
      <w:pPr>
        <w:pStyle w:val="Contents2"/>
        <w:tabs>
          <w:tab w:val="right" w:pos="10196" w:leader="underscore"/>
        </w:tabs>
        <w:rPr>
          <w:rFonts w:eastAsia="Times New Roman"/>
          <w:caps w:val="false"/>
          <w:smallCaps w:val="false"/>
          <w:sz w:val="22"/>
          <w:szCs w:val="22"/>
          <w:lang w:eastAsia="en-IE"/>
        </w:rPr>
      </w:pPr>
      <w:r>
        <w:rPr/>
        <w:t>7.4 Safety ropes and harnesses</w:t>
        <w:tab/>
        <w:t>27</w:t>
      </w:r>
    </w:p>
    <w:p>
      <w:pPr>
        <w:pStyle w:val="Contents2"/>
        <w:tabs>
          <w:tab w:val="right" w:pos="10196" w:leader="underscore"/>
        </w:tabs>
        <w:rPr>
          <w:rFonts w:eastAsia="Times New Roman"/>
          <w:caps w:val="false"/>
          <w:smallCaps w:val="false"/>
          <w:sz w:val="22"/>
          <w:szCs w:val="22"/>
          <w:lang w:eastAsia="en-IE"/>
        </w:rPr>
      </w:pPr>
      <w:r>
        <w:rPr/>
        <w:t>7.5 Disposable aprons</w:t>
        <w:tab/>
        <w:t>27</w:t>
      </w:r>
    </w:p>
    <w:p>
      <w:pPr>
        <w:pStyle w:val="Contents2"/>
        <w:tabs>
          <w:tab w:val="right" w:pos="10196" w:leader="underscore"/>
        </w:tabs>
        <w:rPr>
          <w:rFonts w:eastAsia="Times New Roman"/>
          <w:caps w:val="false"/>
          <w:smallCaps w:val="false"/>
          <w:sz w:val="22"/>
          <w:szCs w:val="22"/>
          <w:lang w:eastAsia="en-IE"/>
        </w:rPr>
      </w:pPr>
      <w:r>
        <w:rPr/>
        <w:t>7.6 Hearing protection</w:t>
        <w:tab/>
        <w:t>27</w:t>
      </w:r>
    </w:p>
    <w:p>
      <w:pPr>
        <w:pStyle w:val="Contents2"/>
        <w:tabs>
          <w:tab w:val="right" w:pos="10196" w:leader="underscore"/>
        </w:tabs>
        <w:rPr>
          <w:rFonts w:eastAsia="Times New Roman"/>
          <w:caps w:val="false"/>
          <w:smallCaps w:val="false"/>
          <w:sz w:val="22"/>
          <w:szCs w:val="22"/>
          <w:lang w:eastAsia="en-IE"/>
        </w:rPr>
      </w:pPr>
      <w:r>
        <w:rPr/>
        <w:t>7.7 Safety Shoes</w:t>
        <w:tab/>
        <w:t>27</w:t>
      </w:r>
    </w:p>
    <w:p>
      <w:pPr>
        <w:pStyle w:val="Contents2"/>
        <w:tabs>
          <w:tab w:val="right" w:pos="10196" w:leader="underscore"/>
        </w:tabs>
        <w:rPr>
          <w:rFonts w:eastAsia="Times New Roman"/>
          <w:caps w:val="false"/>
          <w:smallCaps w:val="false"/>
          <w:sz w:val="22"/>
          <w:szCs w:val="22"/>
          <w:lang w:eastAsia="en-IE"/>
        </w:rPr>
      </w:pPr>
      <w:r>
        <w:rPr/>
        <w:t>7.8 Head &amp; Neck Protective Clothing</w:t>
        <w:tab/>
        <w:t>27</w:t>
      </w:r>
    </w:p>
    <w:p>
      <w:pPr>
        <w:pStyle w:val="Contents2"/>
        <w:tabs>
          <w:tab w:val="right" w:pos="10196" w:leader="underscore"/>
        </w:tabs>
        <w:rPr>
          <w:rFonts w:eastAsia="Times New Roman"/>
          <w:caps w:val="false"/>
          <w:smallCaps w:val="false"/>
          <w:sz w:val="22"/>
          <w:szCs w:val="22"/>
          <w:lang w:eastAsia="en-IE"/>
        </w:rPr>
      </w:pPr>
      <w:r>
        <w:rPr/>
        <w:t>7.9 Miscellaneous Personal Protective Equipment</w:t>
        <w:tab/>
        <w:t>27</w:t>
      </w:r>
    </w:p>
    <w:p>
      <w:pPr>
        <w:pStyle w:val="Contents1"/>
        <w:tabs>
          <w:tab w:val="right" w:pos="10196" w:leader="underscore"/>
        </w:tabs>
        <w:rPr>
          <w:rFonts w:eastAsia="Times New Roman"/>
          <w:b w:val="false"/>
          <w:b w:val="false"/>
          <w:bCs w:val="false"/>
          <w:caps w:val="false"/>
          <w:smallCaps w:val="false"/>
          <w:sz w:val="22"/>
          <w:szCs w:val="22"/>
          <w:lang w:eastAsia="en-IE"/>
        </w:rPr>
      </w:pPr>
      <w:r>
        <w:rPr/>
        <w:t>8. Segregation of Waste</w:t>
        <w:tab/>
        <w:t>27</w:t>
      </w:r>
    </w:p>
    <w:p>
      <w:pPr>
        <w:pStyle w:val="Contents2"/>
        <w:tabs>
          <w:tab w:val="right" w:pos="10196" w:leader="underscore"/>
        </w:tabs>
        <w:rPr>
          <w:rFonts w:eastAsia="Times New Roman"/>
          <w:caps w:val="false"/>
          <w:smallCaps w:val="false"/>
          <w:sz w:val="22"/>
          <w:szCs w:val="22"/>
          <w:lang w:eastAsia="en-IE"/>
        </w:rPr>
      </w:pPr>
      <w:r>
        <w:rPr/>
        <w:t>8.1.2 HEALTHCARE Risk Waste (Clinical Waste) disposed of in Rigid Containers</w:t>
        <w:tab/>
        <w:t>28</w:t>
      </w:r>
    </w:p>
    <w:p>
      <w:pPr>
        <w:pStyle w:val="Contents2"/>
        <w:tabs>
          <w:tab w:val="right" w:pos="10196" w:leader="underscore"/>
        </w:tabs>
        <w:rPr>
          <w:rFonts w:eastAsia="Times New Roman"/>
          <w:caps w:val="false"/>
          <w:smallCaps w:val="false"/>
          <w:sz w:val="22"/>
          <w:szCs w:val="22"/>
          <w:lang w:eastAsia="en-IE"/>
        </w:rPr>
      </w:pPr>
      <w:r>
        <w:rPr/>
        <w:t>8.2 Healthcare Non – Risk Waste (Household / Domestic Waste)</w:t>
        <w:tab/>
        <w:t>28</w:t>
      </w:r>
    </w:p>
    <w:p>
      <w:pPr>
        <w:pStyle w:val="Contents2"/>
        <w:tabs>
          <w:tab w:val="right" w:pos="10196" w:leader="underscore"/>
        </w:tabs>
        <w:rPr>
          <w:rFonts w:eastAsia="Times New Roman"/>
          <w:caps w:val="false"/>
          <w:smallCaps w:val="false"/>
          <w:sz w:val="22"/>
          <w:szCs w:val="22"/>
          <w:lang w:eastAsia="en-IE"/>
        </w:rPr>
      </w:pPr>
      <w:r>
        <w:rPr/>
        <w:t>8.3 Hazardous Waste and Recycled Waste</w:t>
        <w:tab/>
        <w:t>29</w:t>
      </w:r>
    </w:p>
    <w:p>
      <w:pPr>
        <w:pStyle w:val="Contents1"/>
        <w:tabs>
          <w:tab w:val="right" w:pos="10196" w:leader="underscore"/>
        </w:tabs>
        <w:rPr>
          <w:rFonts w:eastAsia="Times New Roman"/>
          <w:b w:val="false"/>
          <w:b w:val="false"/>
          <w:bCs w:val="false"/>
          <w:caps w:val="false"/>
          <w:smallCaps w:val="false"/>
          <w:sz w:val="22"/>
          <w:szCs w:val="22"/>
          <w:lang w:eastAsia="en-IE"/>
        </w:rPr>
      </w:pPr>
      <w:r>
        <w:rPr/>
        <w:t>9. Fire Protection Within the School</w:t>
        <w:tab/>
        <w:t>29</w:t>
      </w:r>
    </w:p>
    <w:p>
      <w:pPr>
        <w:pStyle w:val="Contents2"/>
        <w:tabs>
          <w:tab w:val="right" w:pos="10196" w:leader="underscore"/>
        </w:tabs>
        <w:rPr>
          <w:rFonts w:eastAsia="Times New Roman"/>
          <w:caps w:val="false"/>
          <w:smallCaps w:val="false"/>
          <w:sz w:val="22"/>
          <w:szCs w:val="22"/>
          <w:lang w:eastAsia="en-IE"/>
        </w:rPr>
      </w:pPr>
      <w:r>
        <w:rPr/>
        <w:t>9.1 Means of Escape</w:t>
        <w:tab/>
        <w:t>29</w:t>
      </w:r>
    </w:p>
    <w:p>
      <w:pPr>
        <w:pStyle w:val="Contents2"/>
        <w:tabs>
          <w:tab w:val="right" w:pos="10196" w:leader="underscore"/>
        </w:tabs>
        <w:rPr>
          <w:rFonts w:eastAsia="Times New Roman"/>
          <w:caps w:val="false"/>
          <w:smallCaps w:val="false"/>
          <w:sz w:val="22"/>
          <w:szCs w:val="22"/>
          <w:lang w:eastAsia="en-IE"/>
        </w:rPr>
      </w:pPr>
      <w:r>
        <w:rPr/>
        <w:t>9.2 Fire Detection and Alarm Systems</w:t>
        <w:tab/>
        <w:t>29</w:t>
      </w:r>
    </w:p>
    <w:p>
      <w:pPr>
        <w:pStyle w:val="Contents2"/>
        <w:tabs>
          <w:tab w:val="right" w:pos="10196" w:leader="underscore"/>
        </w:tabs>
        <w:rPr>
          <w:rFonts w:eastAsia="Times New Roman"/>
          <w:caps w:val="false"/>
          <w:smallCaps w:val="false"/>
          <w:sz w:val="22"/>
          <w:szCs w:val="22"/>
          <w:lang w:eastAsia="en-IE"/>
        </w:rPr>
      </w:pPr>
      <w:r>
        <w:rPr/>
        <w:t>9.3 Fire Extinguishers</w:t>
        <w:tab/>
        <w:t>30</w:t>
      </w:r>
    </w:p>
    <w:p>
      <w:pPr>
        <w:pStyle w:val="Contents2"/>
        <w:tabs>
          <w:tab w:val="right" w:pos="10196" w:leader="underscore"/>
        </w:tabs>
        <w:rPr>
          <w:rFonts w:eastAsia="Times New Roman"/>
          <w:caps w:val="false"/>
          <w:smallCaps w:val="false"/>
          <w:sz w:val="22"/>
          <w:szCs w:val="22"/>
          <w:lang w:eastAsia="en-IE"/>
        </w:rPr>
      </w:pPr>
      <w:r>
        <w:rPr/>
        <w:t>9.4 Emergency Lighting</w:t>
        <w:tab/>
        <w:t>30</w:t>
      </w:r>
    </w:p>
    <w:p>
      <w:pPr>
        <w:pStyle w:val="Contents2"/>
        <w:tabs>
          <w:tab w:val="right" w:pos="10196" w:leader="underscore"/>
        </w:tabs>
        <w:rPr>
          <w:rFonts w:eastAsia="Times New Roman"/>
          <w:caps w:val="false"/>
          <w:smallCaps w:val="false"/>
          <w:sz w:val="22"/>
          <w:szCs w:val="22"/>
          <w:lang w:eastAsia="en-IE"/>
        </w:rPr>
      </w:pPr>
      <w:r>
        <w:rPr/>
        <w:t>9.5 Fire Doors</w:t>
        <w:tab/>
        <w:t>30</w:t>
      </w:r>
    </w:p>
    <w:p>
      <w:pPr>
        <w:pStyle w:val="Contents2"/>
        <w:tabs>
          <w:tab w:val="right" w:pos="10196" w:leader="underscore"/>
        </w:tabs>
        <w:rPr>
          <w:rFonts w:eastAsia="Times New Roman"/>
          <w:caps w:val="false"/>
          <w:smallCaps w:val="false"/>
          <w:sz w:val="22"/>
          <w:szCs w:val="22"/>
          <w:lang w:eastAsia="en-IE"/>
        </w:rPr>
      </w:pPr>
      <w:r>
        <w:rPr/>
        <w:t>9.6 Fire Safety Signs and Notices</w:t>
        <w:tab/>
        <w:t>30</w:t>
      </w:r>
    </w:p>
    <w:p>
      <w:pPr>
        <w:pStyle w:val="Contents1"/>
        <w:tabs>
          <w:tab w:val="right" w:pos="10196" w:leader="underscore"/>
        </w:tabs>
        <w:rPr>
          <w:rFonts w:eastAsia="Times New Roman"/>
          <w:b w:val="false"/>
          <w:b w:val="false"/>
          <w:bCs w:val="false"/>
          <w:caps w:val="false"/>
          <w:smallCaps w:val="false"/>
          <w:sz w:val="22"/>
          <w:szCs w:val="22"/>
          <w:lang w:eastAsia="en-IE"/>
        </w:rPr>
      </w:pPr>
      <w:r>
        <w:rPr/>
        <w:t>10. Fire Prevention within the School</w:t>
        <w:tab/>
        <w:t>31</w:t>
      </w:r>
    </w:p>
    <w:p>
      <w:pPr>
        <w:pStyle w:val="Contents2"/>
        <w:tabs>
          <w:tab w:val="right" w:pos="10196" w:leader="underscore"/>
        </w:tabs>
        <w:rPr>
          <w:rFonts w:eastAsia="Times New Roman"/>
          <w:caps w:val="false"/>
          <w:smallCaps w:val="false"/>
          <w:sz w:val="22"/>
          <w:szCs w:val="22"/>
          <w:lang w:eastAsia="en-IE"/>
        </w:rPr>
      </w:pPr>
      <w:r>
        <w:rPr/>
        <w:t>10.1 Housekeeping</w:t>
        <w:tab/>
        <w:t>31</w:t>
      </w:r>
    </w:p>
    <w:p>
      <w:pPr>
        <w:pStyle w:val="Contents2"/>
        <w:tabs>
          <w:tab w:val="right" w:pos="10196" w:leader="underscore"/>
        </w:tabs>
        <w:rPr>
          <w:rFonts w:eastAsia="Times New Roman"/>
          <w:caps w:val="false"/>
          <w:smallCaps w:val="false"/>
          <w:sz w:val="22"/>
          <w:szCs w:val="22"/>
          <w:lang w:eastAsia="en-IE"/>
        </w:rPr>
      </w:pPr>
      <w:r>
        <w:rPr/>
        <w:t>10.2 Smoking</w:t>
        <w:tab/>
        <w:t>31</w:t>
      </w:r>
    </w:p>
    <w:p>
      <w:pPr>
        <w:pStyle w:val="Contents2"/>
        <w:tabs>
          <w:tab w:val="right" w:pos="10196" w:leader="underscore"/>
        </w:tabs>
        <w:rPr>
          <w:rFonts w:eastAsia="Times New Roman"/>
          <w:caps w:val="false"/>
          <w:smallCaps w:val="false"/>
          <w:sz w:val="22"/>
          <w:szCs w:val="22"/>
          <w:lang w:eastAsia="en-IE"/>
        </w:rPr>
      </w:pPr>
      <w:r>
        <w:rPr/>
        <w:t>10.3 Arson</w:t>
        <w:tab/>
        <w:t>31</w:t>
      </w:r>
    </w:p>
    <w:p>
      <w:pPr>
        <w:pStyle w:val="Contents2"/>
        <w:tabs>
          <w:tab w:val="right" w:pos="10196" w:leader="underscore"/>
        </w:tabs>
        <w:rPr>
          <w:rFonts w:eastAsia="Times New Roman"/>
          <w:caps w:val="false"/>
          <w:smallCaps w:val="false"/>
          <w:sz w:val="22"/>
          <w:szCs w:val="22"/>
          <w:lang w:eastAsia="en-IE"/>
        </w:rPr>
      </w:pPr>
      <w:r>
        <w:rPr/>
        <w:t>10.4 Electricity</w:t>
        <w:tab/>
        <w:t>31</w:t>
      </w:r>
    </w:p>
    <w:p>
      <w:pPr>
        <w:pStyle w:val="Contents2"/>
        <w:tabs>
          <w:tab w:val="right" w:pos="10196" w:leader="underscore"/>
        </w:tabs>
        <w:rPr>
          <w:rFonts w:eastAsia="Times New Roman"/>
          <w:caps w:val="false"/>
          <w:smallCaps w:val="false"/>
          <w:sz w:val="22"/>
          <w:szCs w:val="22"/>
          <w:lang w:eastAsia="en-IE"/>
        </w:rPr>
      </w:pPr>
      <w:r>
        <w:rPr/>
        <w:t>10.5 Kitchens</w:t>
        <w:tab/>
        <w:t>32</w:t>
      </w:r>
    </w:p>
    <w:p>
      <w:pPr>
        <w:pStyle w:val="Contents1"/>
        <w:tabs>
          <w:tab w:val="right" w:pos="10196" w:leader="underscore"/>
        </w:tabs>
        <w:rPr>
          <w:rFonts w:eastAsia="Times New Roman"/>
          <w:b w:val="false"/>
          <w:b w:val="false"/>
          <w:bCs w:val="false"/>
          <w:caps w:val="false"/>
          <w:smallCaps w:val="false"/>
          <w:sz w:val="22"/>
          <w:szCs w:val="22"/>
          <w:lang w:eastAsia="en-IE"/>
        </w:rPr>
      </w:pPr>
      <w:r>
        <w:rPr/>
        <w:t>11. Fire Action /Emergency Management within the School</w:t>
        <w:tab/>
        <w:t>32</w:t>
      </w:r>
    </w:p>
    <w:p>
      <w:pPr>
        <w:pStyle w:val="Contents1"/>
        <w:tabs>
          <w:tab w:val="right" w:pos="10196" w:leader="underscore"/>
        </w:tabs>
        <w:rPr>
          <w:rFonts w:eastAsia="Times New Roman"/>
          <w:b w:val="false"/>
          <w:b w:val="false"/>
          <w:bCs w:val="false"/>
          <w:caps w:val="false"/>
          <w:smallCaps w:val="false"/>
          <w:sz w:val="22"/>
          <w:szCs w:val="22"/>
          <w:lang w:eastAsia="en-IE"/>
        </w:rPr>
      </w:pPr>
      <w:r>
        <w:rPr/>
        <w:t>12. Fire Precautions during Refurbishment and Maintenance Work- Contractors</w:t>
        <w:tab/>
        <w:t>33</w:t>
      </w:r>
    </w:p>
    <w:p>
      <w:pPr>
        <w:pStyle w:val="Contents1"/>
        <w:tabs>
          <w:tab w:val="right" w:pos="10196" w:leader="underscore"/>
        </w:tabs>
        <w:rPr>
          <w:rFonts w:eastAsia="Times New Roman"/>
          <w:b w:val="false"/>
          <w:b w:val="false"/>
          <w:bCs w:val="false"/>
          <w:caps w:val="false"/>
          <w:smallCaps w:val="false"/>
          <w:sz w:val="22"/>
          <w:szCs w:val="22"/>
          <w:lang w:eastAsia="en-IE"/>
        </w:rPr>
      </w:pPr>
      <w:r>
        <w:rPr/>
        <w:t>13. Medical and Other Gases</w:t>
        <w:tab/>
        <w:t>34</w:t>
      </w:r>
    </w:p>
    <w:p>
      <w:pPr>
        <w:pStyle w:val="Contents1"/>
        <w:tabs>
          <w:tab w:val="right" w:pos="10196" w:leader="underscore"/>
        </w:tabs>
        <w:rPr>
          <w:rFonts w:eastAsia="Times New Roman"/>
          <w:b w:val="false"/>
          <w:b w:val="false"/>
          <w:bCs w:val="false"/>
          <w:caps w:val="false"/>
          <w:smallCaps w:val="false"/>
          <w:sz w:val="22"/>
          <w:szCs w:val="22"/>
          <w:lang w:eastAsia="en-IE"/>
        </w:rPr>
      </w:pPr>
      <w:r>
        <w:rPr/>
        <w:t>14. Flammable Substances</w:t>
        <w:tab/>
        <w:t>34</w:t>
      </w:r>
    </w:p>
    <w:p>
      <w:pPr>
        <w:pStyle w:val="Contents1"/>
        <w:tabs>
          <w:tab w:val="right" w:pos="10196" w:leader="underscore"/>
        </w:tabs>
        <w:rPr>
          <w:rFonts w:eastAsia="Times New Roman"/>
          <w:b w:val="false"/>
          <w:b w:val="false"/>
          <w:bCs w:val="false"/>
          <w:caps w:val="false"/>
          <w:smallCaps w:val="false"/>
          <w:sz w:val="22"/>
          <w:szCs w:val="22"/>
          <w:lang w:eastAsia="en-IE"/>
        </w:rPr>
      </w:pPr>
      <w:r>
        <w:rPr/>
        <w:t>15. Contractors and Visitors</w:t>
        <w:tab/>
        <w:t>35</w:t>
      </w:r>
    </w:p>
    <w:p>
      <w:pPr>
        <w:pStyle w:val="Contents2"/>
        <w:tabs>
          <w:tab w:val="right" w:pos="10196" w:leader="underscore"/>
        </w:tabs>
        <w:rPr>
          <w:rFonts w:eastAsia="Times New Roman"/>
          <w:caps w:val="false"/>
          <w:smallCaps w:val="false"/>
          <w:sz w:val="22"/>
          <w:szCs w:val="22"/>
          <w:lang w:eastAsia="en-IE"/>
        </w:rPr>
      </w:pPr>
      <w:r>
        <w:rPr/>
        <w:t>15.1 Contractors</w:t>
        <w:tab/>
        <w:t>35</w:t>
      </w:r>
    </w:p>
    <w:p>
      <w:pPr>
        <w:pStyle w:val="Contents2"/>
        <w:tabs>
          <w:tab w:val="right" w:pos="10196" w:leader="underscore"/>
        </w:tabs>
        <w:rPr>
          <w:rFonts w:eastAsia="Times New Roman"/>
          <w:caps w:val="false"/>
          <w:smallCaps w:val="false"/>
          <w:sz w:val="22"/>
          <w:szCs w:val="22"/>
          <w:lang w:eastAsia="en-IE"/>
        </w:rPr>
      </w:pPr>
      <w:r>
        <w:rPr/>
        <w:t>15.2 Visitors</w:t>
        <w:tab/>
        <w:t>36</w:t>
      </w:r>
    </w:p>
    <w:p>
      <w:pPr>
        <w:pStyle w:val="Contents1"/>
        <w:tabs>
          <w:tab w:val="right" w:pos="10196" w:leader="underscore"/>
        </w:tabs>
        <w:rPr>
          <w:rFonts w:eastAsia="Times New Roman"/>
          <w:b w:val="false"/>
          <w:b w:val="false"/>
          <w:bCs w:val="false"/>
          <w:caps w:val="false"/>
          <w:smallCaps w:val="false"/>
          <w:sz w:val="22"/>
          <w:szCs w:val="22"/>
          <w:lang w:eastAsia="en-IE"/>
        </w:rPr>
      </w:pPr>
      <w:r>
        <w:rPr/>
        <w:t>16. Welfare Facilities</w:t>
        <w:tab/>
        <w:t>36</w:t>
      </w:r>
    </w:p>
    <w:p>
      <w:pPr>
        <w:pStyle w:val="Contents1"/>
        <w:tabs>
          <w:tab w:val="right" w:pos="10196" w:leader="underscore"/>
        </w:tabs>
        <w:rPr>
          <w:rFonts w:eastAsia="Times New Roman"/>
          <w:b w:val="false"/>
          <w:b w:val="false"/>
          <w:bCs w:val="false"/>
          <w:caps w:val="false"/>
          <w:smallCaps w:val="false"/>
          <w:sz w:val="22"/>
          <w:szCs w:val="22"/>
          <w:lang w:eastAsia="en-IE"/>
        </w:rPr>
      </w:pPr>
      <w:r>
        <w:rPr/>
        <w:t>17. The Car park</w:t>
        <w:tab/>
        <w:t>36</w:t>
      </w:r>
    </w:p>
    <w:p>
      <w:pPr>
        <w:pStyle w:val="Contents1"/>
        <w:tabs>
          <w:tab w:val="right" w:pos="10196" w:leader="underscore"/>
        </w:tabs>
        <w:rPr>
          <w:rFonts w:eastAsia="Times New Roman"/>
          <w:b w:val="false"/>
          <w:b w:val="false"/>
          <w:bCs w:val="false"/>
          <w:caps w:val="false"/>
          <w:smallCaps w:val="false"/>
          <w:sz w:val="22"/>
          <w:szCs w:val="22"/>
          <w:lang w:eastAsia="en-IE"/>
        </w:rPr>
      </w:pPr>
      <w:r>
        <w:rPr/>
        <w:t>18. First Aid</w:t>
        <w:tab/>
        <w:t>37</w:t>
      </w:r>
    </w:p>
    <w:p>
      <w:pPr>
        <w:pStyle w:val="Contents1"/>
        <w:tabs>
          <w:tab w:val="right" w:pos="10196" w:leader="underscore"/>
        </w:tabs>
        <w:rPr>
          <w:rFonts w:eastAsia="Times New Roman"/>
          <w:b w:val="false"/>
          <w:b w:val="false"/>
          <w:bCs w:val="false"/>
          <w:caps w:val="false"/>
          <w:smallCaps w:val="false"/>
          <w:sz w:val="22"/>
          <w:szCs w:val="22"/>
          <w:lang w:eastAsia="en-IE"/>
        </w:rPr>
      </w:pPr>
      <w:r>
        <w:rPr/>
        <w:t>19. Reports and Records of Incidents, Accidents and Dangerous Occurrences</w:t>
        <w:tab/>
        <w:t>37</w:t>
      </w:r>
    </w:p>
    <w:p>
      <w:pPr>
        <w:pStyle w:val="Contents2"/>
        <w:tabs>
          <w:tab w:val="right" w:pos="10196" w:leader="underscore"/>
        </w:tabs>
        <w:rPr>
          <w:rFonts w:eastAsia="Times New Roman"/>
          <w:caps w:val="false"/>
          <w:smallCaps w:val="false"/>
          <w:sz w:val="22"/>
          <w:szCs w:val="22"/>
          <w:lang w:eastAsia="en-IE"/>
        </w:rPr>
      </w:pPr>
      <w:r>
        <w:rPr/>
        <w:t>19.1 Accident/Incident Report form</w:t>
        <w:tab/>
        <w:t>37</w:t>
      </w:r>
    </w:p>
    <w:p>
      <w:pPr>
        <w:pStyle w:val="Contents2"/>
        <w:tabs>
          <w:tab w:val="right" w:pos="10196" w:leader="underscore"/>
        </w:tabs>
        <w:rPr>
          <w:rFonts w:eastAsia="Times New Roman"/>
          <w:caps w:val="false"/>
          <w:smallCaps w:val="false"/>
          <w:sz w:val="22"/>
          <w:szCs w:val="22"/>
          <w:lang w:eastAsia="en-IE"/>
        </w:rPr>
      </w:pPr>
      <w:r>
        <w:rPr/>
        <w:t>19.2 Health &amp; Safety Authority IR1 form</w:t>
        <w:tab/>
        <w:t>37</w:t>
      </w:r>
    </w:p>
    <w:p>
      <w:pPr>
        <w:pStyle w:val="Contents2"/>
        <w:tabs>
          <w:tab w:val="right" w:pos="10196" w:leader="underscore"/>
        </w:tabs>
        <w:rPr>
          <w:rFonts w:eastAsia="Times New Roman"/>
          <w:caps w:val="false"/>
          <w:smallCaps w:val="false"/>
          <w:sz w:val="22"/>
          <w:szCs w:val="22"/>
          <w:lang w:eastAsia="en-IE"/>
        </w:rPr>
      </w:pPr>
      <w:r>
        <w:rPr/>
        <w:t>19.3 Health &amp; Safety Authority IR3 form</w:t>
        <w:tab/>
        <w:t>37</w:t>
      </w:r>
    </w:p>
    <w:p>
      <w:pPr>
        <w:pStyle w:val="Contents2"/>
        <w:tabs>
          <w:tab w:val="right" w:pos="10196" w:leader="underscore"/>
        </w:tabs>
        <w:rPr>
          <w:rFonts w:eastAsia="Times New Roman"/>
          <w:caps w:val="false"/>
          <w:smallCaps w:val="false"/>
          <w:sz w:val="22"/>
          <w:szCs w:val="22"/>
          <w:lang w:eastAsia="en-IE"/>
        </w:rPr>
      </w:pPr>
      <w:r>
        <w:rPr/>
        <w:t>19.4 Hazard &amp; Risk Assessment Work Sheets</w:t>
        <w:tab/>
        <w:t>38</w:t>
      </w:r>
    </w:p>
    <w:p>
      <w:pPr>
        <w:pStyle w:val="Contents1"/>
        <w:tabs>
          <w:tab w:val="right" w:pos="10196" w:leader="underscore"/>
        </w:tabs>
        <w:rPr>
          <w:rFonts w:eastAsia="Times New Roman"/>
          <w:b w:val="false"/>
          <w:b w:val="false"/>
          <w:bCs w:val="false"/>
          <w:caps w:val="false"/>
          <w:smallCaps w:val="false"/>
          <w:sz w:val="22"/>
          <w:szCs w:val="22"/>
          <w:lang w:eastAsia="en-IE"/>
        </w:rPr>
      </w:pPr>
      <w:r>
        <w:rPr/>
        <w:t>20. Training</w:t>
        <w:tab/>
        <w:t>38</w:t>
      </w:r>
    </w:p>
    <w:p>
      <w:pPr>
        <w:pStyle w:val="Contents2"/>
        <w:tabs>
          <w:tab w:val="right" w:pos="10196" w:leader="underscore"/>
        </w:tabs>
        <w:rPr>
          <w:rFonts w:eastAsia="Times New Roman"/>
          <w:caps w:val="false"/>
          <w:smallCaps w:val="false"/>
          <w:sz w:val="22"/>
          <w:szCs w:val="22"/>
          <w:lang w:eastAsia="en-IE"/>
        </w:rPr>
      </w:pPr>
      <w:r>
        <w:rPr/>
        <w:t>20.1 Induction Training</w:t>
        <w:tab/>
        <w:t>38</w:t>
      </w:r>
    </w:p>
    <w:p>
      <w:pPr>
        <w:pStyle w:val="Contents2"/>
        <w:tabs>
          <w:tab w:val="right" w:pos="10196" w:leader="underscore"/>
        </w:tabs>
        <w:rPr>
          <w:rFonts w:eastAsia="Times New Roman"/>
          <w:caps w:val="false"/>
          <w:smallCaps w:val="false"/>
          <w:sz w:val="22"/>
          <w:szCs w:val="22"/>
          <w:lang w:eastAsia="en-IE"/>
        </w:rPr>
      </w:pPr>
      <w:r>
        <w:rPr/>
        <w:t>20.2 General Training</w:t>
        <w:tab/>
        <w:t>38</w:t>
      </w:r>
    </w:p>
    <w:p>
      <w:pPr>
        <w:pStyle w:val="Contents2"/>
        <w:tabs>
          <w:tab w:val="right" w:pos="10196" w:leader="underscore"/>
        </w:tabs>
        <w:rPr>
          <w:rFonts w:eastAsia="Times New Roman"/>
          <w:caps w:val="false"/>
          <w:smallCaps w:val="false"/>
          <w:sz w:val="22"/>
          <w:szCs w:val="22"/>
          <w:lang w:eastAsia="en-IE"/>
        </w:rPr>
      </w:pPr>
      <w:r>
        <w:rPr/>
        <w:t>20.3 Fire Safety Training</w:t>
        <w:tab/>
        <w:t>38</w:t>
      </w:r>
    </w:p>
    <w:p>
      <w:pPr>
        <w:pStyle w:val="Contents2"/>
        <w:tabs>
          <w:tab w:val="right" w:pos="10196" w:leader="underscore"/>
        </w:tabs>
        <w:rPr>
          <w:rFonts w:eastAsia="Times New Roman"/>
          <w:caps w:val="false"/>
          <w:smallCaps w:val="false"/>
          <w:sz w:val="22"/>
          <w:szCs w:val="22"/>
          <w:lang w:eastAsia="en-IE"/>
        </w:rPr>
      </w:pPr>
      <w:r>
        <w:rPr/>
        <w:t>20.4 Manual Handling Training</w:t>
        <w:tab/>
        <w:t>39</w:t>
      </w:r>
    </w:p>
    <w:p>
      <w:pPr>
        <w:pStyle w:val="Contents2"/>
        <w:tabs>
          <w:tab w:val="right" w:pos="10196" w:leader="underscore"/>
        </w:tabs>
        <w:rPr>
          <w:rFonts w:eastAsia="Times New Roman"/>
          <w:caps w:val="false"/>
          <w:smallCaps w:val="false"/>
          <w:sz w:val="22"/>
          <w:szCs w:val="22"/>
          <w:lang w:eastAsia="en-IE"/>
        </w:rPr>
      </w:pPr>
      <w:r>
        <w:rPr/>
        <w:t>20.5 Principals of safer handling</w:t>
        <w:tab/>
        <w:t>39</w:t>
      </w:r>
    </w:p>
    <w:p>
      <w:pPr>
        <w:pStyle w:val="Contents1"/>
        <w:tabs>
          <w:tab w:val="right" w:pos="10196" w:leader="underscore"/>
        </w:tabs>
        <w:rPr>
          <w:rFonts w:eastAsia="Times New Roman"/>
          <w:b w:val="false"/>
          <w:b w:val="false"/>
          <w:bCs w:val="false"/>
          <w:caps w:val="false"/>
          <w:smallCaps w:val="false"/>
          <w:sz w:val="22"/>
          <w:szCs w:val="22"/>
          <w:lang w:eastAsia="en-IE"/>
        </w:rPr>
      </w:pPr>
      <w:r>
        <w:rPr/>
        <w:t>21. Resources</w:t>
        <w:tab/>
        <w:t>39</w:t>
      </w:r>
    </w:p>
    <w:p>
      <w:pPr>
        <w:pStyle w:val="Contents1"/>
        <w:tabs>
          <w:tab w:val="right" w:pos="10196" w:leader="underscore"/>
        </w:tabs>
        <w:rPr>
          <w:rFonts w:eastAsia="Times New Roman"/>
          <w:b w:val="false"/>
          <w:b w:val="false"/>
          <w:bCs w:val="false"/>
          <w:caps w:val="false"/>
          <w:smallCaps w:val="false"/>
          <w:sz w:val="22"/>
          <w:szCs w:val="22"/>
          <w:lang w:eastAsia="en-IE"/>
        </w:rPr>
      </w:pPr>
      <w:r>
        <w:rPr/>
        <w:t>22. Revision of Safety Statement</w:t>
        <w:tab/>
        <w:t>40</w:t>
      </w:r>
    </w:p>
    <w:p>
      <w:pPr>
        <w:pStyle w:val="Contents2"/>
        <w:tabs>
          <w:tab w:val="right" w:pos="10196" w:leader="underscore"/>
        </w:tabs>
        <w:rPr>
          <w:rFonts w:eastAsia="Times New Roman"/>
          <w:caps w:val="false"/>
          <w:smallCaps w:val="false"/>
          <w:sz w:val="22"/>
          <w:szCs w:val="22"/>
          <w:lang w:eastAsia="en-IE"/>
        </w:rPr>
      </w:pPr>
      <w:r>
        <w:rPr/>
        <w:t>22.1 The Health &amp; Safety Management System</w:t>
        <w:tab/>
        <w:t>40</w:t>
      </w:r>
    </w:p>
    <w:p>
      <w:pPr>
        <w:pStyle w:val="Contents2"/>
        <w:tabs>
          <w:tab w:val="right" w:pos="10196" w:leader="underscore"/>
        </w:tabs>
        <w:rPr>
          <w:rFonts w:eastAsia="Times New Roman"/>
          <w:caps w:val="false"/>
          <w:smallCaps w:val="false"/>
          <w:sz w:val="22"/>
          <w:szCs w:val="22"/>
          <w:lang w:eastAsia="en-IE"/>
        </w:rPr>
      </w:pPr>
      <w:r>
        <w:rPr/>
        <w:t>22.2 Initial Review</w:t>
        <w:tab/>
        <w:t>40</w:t>
      </w:r>
    </w:p>
    <w:p>
      <w:pPr>
        <w:pStyle w:val="Contents2"/>
        <w:tabs>
          <w:tab w:val="right" w:pos="10196" w:leader="underscore"/>
        </w:tabs>
        <w:rPr>
          <w:rFonts w:eastAsia="Times New Roman"/>
          <w:caps w:val="false"/>
          <w:smallCaps w:val="false"/>
          <w:sz w:val="22"/>
          <w:szCs w:val="22"/>
          <w:lang w:eastAsia="en-IE"/>
        </w:rPr>
      </w:pPr>
      <w:r>
        <w:rPr/>
        <w:t>22.3 Planning</w:t>
        <w:tab/>
        <w:t>41</w:t>
      </w:r>
    </w:p>
    <w:p>
      <w:pPr>
        <w:pStyle w:val="Contents2"/>
        <w:tabs>
          <w:tab w:val="right" w:pos="10196" w:leader="underscore"/>
        </w:tabs>
        <w:rPr>
          <w:rFonts w:eastAsia="Times New Roman"/>
          <w:caps w:val="false"/>
          <w:smallCaps w:val="false"/>
          <w:sz w:val="22"/>
          <w:szCs w:val="22"/>
          <w:lang w:eastAsia="en-IE"/>
        </w:rPr>
      </w:pPr>
      <w:r>
        <w:rPr/>
        <w:t>22.4 Measuring Performance</w:t>
        <w:tab/>
        <w:t>41</w:t>
      </w:r>
    </w:p>
    <w:p>
      <w:pPr>
        <w:pStyle w:val="Contents2"/>
        <w:tabs>
          <w:tab w:val="right" w:pos="10196" w:leader="underscore"/>
        </w:tabs>
        <w:rPr>
          <w:rFonts w:eastAsia="Times New Roman"/>
          <w:caps w:val="false"/>
          <w:smallCaps w:val="false"/>
          <w:sz w:val="22"/>
          <w:szCs w:val="22"/>
          <w:lang w:eastAsia="en-IE"/>
        </w:rPr>
      </w:pPr>
      <w:r>
        <w:rPr/>
        <w:t>22 .5 Auditing</w:t>
        <w:tab/>
        <w:t>41</w:t>
      </w:r>
    </w:p>
    <w:p>
      <w:pPr>
        <w:pStyle w:val="Contents1"/>
        <w:tabs>
          <w:tab w:val="right" w:pos="10196" w:leader="underscore"/>
        </w:tabs>
        <w:rPr>
          <w:rFonts w:eastAsia="Times New Roman"/>
          <w:b w:val="false"/>
          <w:b w:val="false"/>
          <w:bCs w:val="false"/>
          <w:caps w:val="false"/>
          <w:smallCaps w:val="false"/>
          <w:sz w:val="22"/>
          <w:szCs w:val="22"/>
          <w:lang w:eastAsia="en-IE"/>
        </w:rPr>
      </w:pPr>
      <w:r>
        <w:rPr/>
        <w:t>23. Safety Signs - What Signs are Required?</w:t>
        <w:tab/>
        <w:t>41</w:t>
      </w:r>
    </w:p>
    <w:p>
      <w:pPr>
        <w:pStyle w:val="Contents1"/>
        <w:tabs>
          <w:tab w:val="right" w:pos="10196" w:leader="underscore"/>
        </w:tabs>
        <w:rPr>
          <w:rFonts w:eastAsia="Times New Roman"/>
          <w:b w:val="false"/>
          <w:b w:val="false"/>
          <w:bCs w:val="false"/>
          <w:caps w:val="false"/>
          <w:smallCaps w:val="false"/>
          <w:sz w:val="22"/>
          <w:szCs w:val="22"/>
          <w:lang w:eastAsia="en-IE"/>
        </w:rPr>
      </w:pPr>
      <w:r>
        <w:rPr/>
        <w:t>24. References</w:t>
        <w:tab/>
        <w:t>41</w:t>
      </w:r>
    </w:p>
    <w:p>
      <w:pPr>
        <w:pStyle w:val="Contents1"/>
        <w:tabs>
          <w:tab w:val="right" w:pos="10196" w:leader="underscore"/>
        </w:tabs>
        <w:rPr>
          <w:rFonts w:eastAsia="Times New Roman"/>
          <w:b w:val="false"/>
          <w:b w:val="false"/>
          <w:bCs w:val="false"/>
          <w:caps w:val="false"/>
          <w:smallCaps w:val="false"/>
          <w:sz w:val="22"/>
          <w:szCs w:val="22"/>
          <w:lang w:eastAsia="en-IE"/>
        </w:rPr>
      </w:pPr>
      <w:r>
        <w:rPr/>
        <w:t>25. Occupational health and safety safe working procedures – Local and General Risk Assessments</w:t>
        <w:tab/>
        <w:t>44</w:t>
      </w:r>
    </w:p>
    <w:p>
      <w:pPr>
        <w:pStyle w:val="Heading1"/>
        <w:spacing w:lineRule="auto" w:line="240"/>
        <w:rPr>
          <w:rFonts w:ascii="Calibri" w:hAnsi="Calibri"/>
        </w:rPr>
      </w:pPr>
      <w:r>
        <w:rPr>
          <w:rFonts w:ascii="Calibri" w:hAnsi="Calibri"/>
        </w:rPr>
        <w:t xml:space="preserve">   </w:t>
      </w:r>
      <w:r>
        <w:fldChar w:fldCharType="end"/>
      </w:r>
    </w:p>
    <w:p>
      <w:pPr>
        <w:pStyle w:val="Heading1"/>
        <w:spacing w:lineRule="auto" w:line="240"/>
        <w:rPr>
          <w:rFonts w:ascii="Calibri" w:hAnsi="Calibri" w:eastAsia="Calibri"/>
        </w:rPr>
      </w:pPr>
      <w:r>
        <w:rPr>
          <w:rFonts w:ascii="Calibri" w:hAnsi="Calibri"/>
        </w:rPr>
        <w:t xml:space="preserve">     </w:t>
      </w:r>
      <w:bookmarkStart w:id="1" w:name="_Toc244923545"/>
      <w:r>
        <w:rPr>
          <w:rFonts w:ascii="Calibri" w:hAnsi="Calibri"/>
        </w:rPr>
        <w:t xml:space="preserve">1. </w:t>
      </w:r>
      <w:bookmarkEnd w:id="1"/>
      <w:r>
        <w:rPr>
          <w:rFonts w:eastAsia="Calibri" w:ascii="Calibri" w:hAnsi="Calibri"/>
        </w:rPr>
        <w:t>HEALTH AND SAFETY POLICY</w:t>
      </w:r>
    </w:p>
    <w:p>
      <w:pPr>
        <w:pStyle w:val="Normal"/>
        <w:spacing w:lineRule="auto" w:line="240"/>
        <w:jc w:val="both"/>
        <w:rPr>
          <w:sz w:val="24"/>
          <w:szCs w:val="24"/>
        </w:rPr>
      </w:pPr>
      <w:r>
        <w:rPr>
          <w:sz w:val="24"/>
          <w:szCs w:val="24"/>
        </w:rPr>
      </w:r>
    </w:p>
    <w:p>
      <w:pPr>
        <w:pStyle w:val="Normal"/>
        <w:spacing w:lineRule="auto" w:line="240"/>
        <w:jc w:val="both"/>
        <w:rPr>
          <w:sz w:val="24"/>
          <w:szCs w:val="24"/>
        </w:rPr>
      </w:pPr>
      <w:r>
        <w:rPr>
          <w:sz w:val="24"/>
          <w:szCs w:val="24"/>
        </w:rPr>
        <w:t xml:space="preserve">This Safety Statement which has been written in accordance with Section 20, Safety, Health and Welfare at Work Act 2005, outlines the policy of Togher Boys’ National School in relation to the management of health and safety.  </w:t>
      </w:r>
      <w:r>
        <w:rPr>
          <w:color w:val="000000"/>
          <w:sz w:val="24"/>
          <w:szCs w:val="24"/>
        </w:rPr>
        <w:t xml:space="preserve">Togher Boys’ National School BOM </w:t>
      </w:r>
      <w:r>
        <w:rPr>
          <w:sz w:val="24"/>
          <w:szCs w:val="24"/>
        </w:rPr>
        <w:t>are committed to managing and conducting their work activities in such a way as to ensure, so far as is reasonably practicable, the safety, health and welfare at work of their employees and others who may be affected by their business activities.</w:t>
      </w:r>
    </w:p>
    <w:p>
      <w:pPr>
        <w:pStyle w:val="Normal"/>
        <w:spacing w:lineRule="auto" w:line="240"/>
        <w:jc w:val="both"/>
        <w:rPr>
          <w:sz w:val="24"/>
          <w:szCs w:val="24"/>
        </w:rPr>
      </w:pPr>
      <w:r>
        <w:rPr>
          <w:sz w:val="24"/>
          <w:szCs w:val="24"/>
        </w:rPr>
        <w:t>This will be achieved by the following (so far as is reasonably practicable):</w:t>
      </w:r>
    </w:p>
    <w:p>
      <w:pPr>
        <w:pStyle w:val="Normal"/>
        <w:numPr>
          <w:ilvl w:val="0"/>
          <w:numId w:val="4"/>
        </w:numPr>
        <w:spacing w:lineRule="auto" w:line="240" w:before="0" w:after="0"/>
        <w:jc w:val="both"/>
        <w:rPr>
          <w:sz w:val="24"/>
          <w:szCs w:val="24"/>
        </w:rPr>
      </w:pPr>
      <w:r>
        <w:rPr>
          <w:sz w:val="24"/>
          <w:szCs w:val="24"/>
        </w:rPr>
        <w:t>The provision of a safe place of work, including safe access and egress;</w:t>
      </w:r>
    </w:p>
    <w:p>
      <w:pPr>
        <w:pStyle w:val="Normal"/>
        <w:numPr>
          <w:ilvl w:val="0"/>
          <w:numId w:val="4"/>
        </w:numPr>
        <w:spacing w:lineRule="auto" w:line="240" w:before="0" w:after="0"/>
        <w:jc w:val="both"/>
        <w:rPr>
          <w:sz w:val="24"/>
          <w:szCs w:val="24"/>
        </w:rPr>
      </w:pPr>
      <w:r>
        <w:rPr>
          <w:sz w:val="24"/>
          <w:szCs w:val="24"/>
        </w:rPr>
        <w:t>The provision of safe plant and equipment, articles and substances;</w:t>
      </w:r>
    </w:p>
    <w:p>
      <w:pPr>
        <w:pStyle w:val="Normal"/>
        <w:numPr>
          <w:ilvl w:val="0"/>
          <w:numId w:val="4"/>
        </w:numPr>
        <w:spacing w:lineRule="auto" w:line="240" w:before="0" w:after="0"/>
        <w:jc w:val="both"/>
        <w:rPr>
          <w:sz w:val="24"/>
          <w:szCs w:val="24"/>
        </w:rPr>
      </w:pPr>
      <w:r>
        <w:rPr>
          <w:sz w:val="24"/>
          <w:szCs w:val="24"/>
        </w:rPr>
        <w:t>The provision of safe systems of work;</w:t>
      </w:r>
    </w:p>
    <w:p>
      <w:pPr>
        <w:pStyle w:val="Normal"/>
        <w:numPr>
          <w:ilvl w:val="0"/>
          <w:numId w:val="4"/>
        </w:numPr>
        <w:spacing w:lineRule="auto" w:line="240" w:before="0" w:after="0"/>
        <w:jc w:val="both"/>
        <w:rPr>
          <w:sz w:val="24"/>
          <w:szCs w:val="24"/>
        </w:rPr>
      </w:pPr>
      <w:r>
        <w:rPr>
          <w:sz w:val="24"/>
          <w:szCs w:val="24"/>
        </w:rPr>
        <w:t>The provision of welfare facilities;</w:t>
      </w:r>
    </w:p>
    <w:p>
      <w:pPr>
        <w:pStyle w:val="Normal"/>
        <w:numPr>
          <w:ilvl w:val="0"/>
          <w:numId w:val="4"/>
        </w:numPr>
        <w:spacing w:lineRule="auto" w:line="240" w:before="0" w:after="0"/>
        <w:jc w:val="both"/>
        <w:rPr>
          <w:sz w:val="24"/>
          <w:szCs w:val="24"/>
        </w:rPr>
      </w:pPr>
      <w:r>
        <w:rPr>
          <w:sz w:val="24"/>
          <w:szCs w:val="24"/>
        </w:rPr>
        <w:t>The provision of appropriate information, instruction, training and supervision;</w:t>
      </w:r>
    </w:p>
    <w:p>
      <w:pPr>
        <w:pStyle w:val="Normal"/>
        <w:numPr>
          <w:ilvl w:val="0"/>
          <w:numId w:val="4"/>
        </w:numPr>
        <w:spacing w:lineRule="auto" w:line="240" w:before="0" w:after="0"/>
        <w:jc w:val="both"/>
        <w:rPr>
          <w:sz w:val="24"/>
          <w:szCs w:val="24"/>
        </w:rPr>
      </w:pPr>
      <w:r>
        <w:rPr>
          <w:sz w:val="24"/>
          <w:szCs w:val="24"/>
        </w:rPr>
        <w:t>Determining and implementing appropriate preventative and protective measures;</w:t>
      </w:r>
    </w:p>
    <w:p>
      <w:pPr>
        <w:pStyle w:val="Normal"/>
        <w:numPr>
          <w:ilvl w:val="0"/>
          <w:numId w:val="4"/>
        </w:numPr>
        <w:spacing w:lineRule="auto" w:line="240" w:before="0" w:after="0"/>
        <w:jc w:val="both"/>
        <w:rPr>
          <w:sz w:val="24"/>
          <w:szCs w:val="24"/>
        </w:rPr>
      </w:pPr>
      <w:r>
        <w:rPr>
          <w:sz w:val="24"/>
          <w:szCs w:val="24"/>
        </w:rPr>
        <w:t>Having regard to the general principles of prevention (See Appendix I);</w:t>
      </w:r>
    </w:p>
    <w:p>
      <w:pPr>
        <w:pStyle w:val="Normal"/>
        <w:numPr>
          <w:ilvl w:val="0"/>
          <w:numId w:val="4"/>
        </w:numPr>
        <w:spacing w:lineRule="auto" w:line="240" w:before="0" w:after="0"/>
        <w:jc w:val="both"/>
        <w:rPr>
          <w:sz w:val="24"/>
          <w:szCs w:val="24"/>
        </w:rPr>
      </w:pPr>
      <w:r>
        <w:rPr>
          <w:sz w:val="24"/>
          <w:szCs w:val="24"/>
        </w:rPr>
        <w:t>The provision of emergency plans and procedures;</w:t>
      </w:r>
    </w:p>
    <w:p>
      <w:pPr>
        <w:pStyle w:val="Normal"/>
        <w:numPr>
          <w:ilvl w:val="0"/>
          <w:numId w:val="4"/>
        </w:numPr>
        <w:spacing w:lineRule="auto" w:line="240" w:before="0" w:after="0"/>
        <w:jc w:val="both"/>
        <w:rPr>
          <w:sz w:val="24"/>
          <w:szCs w:val="24"/>
        </w:rPr>
      </w:pPr>
      <w:r>
        <w:rPr>
          <w:sz w:val="24"/>
          <w:szCs w:val="24"/>
        </w:rPr>
        <w:t>Reporting prescribed accidents and dangerous occurrences to the Health &amp; Safety Authority; and</w:t>
      </w:r>
    </w:p>
    <w:p>
      <w:pPr>
        <w:pStyle w:val="Normal"/>
        <w:numPr>
          <w:ilvl w:val="0"/>
          <w:numId w:val="4"/>
        </w:numPr>
        <w:spacing w:lineRule="auto" w:line="240" w:before="0" w:after="0"/>
        <w:jc w:val="both"/>
        <w:rPr>
          <w:sz w:val="24"/>
          <w:szCs w:val="24"/>
        </w:rPr>
      </w:pPr>
      <w:r>
        <w:rPr>
          <w:sz w:val="24"/>
          <w:szCs w:val="24"/>
        </w:rPr>
        <w:t>Obtaining, where necessary, the services of a competent person to advise on health and safety.</w:t>
      </w:r>
    </w:p>
    <w:p>
      <w:pPr>
        <w:pStyle w:val="Normal"/>
        <w:spacing w:lineRule="auto" w:line="240"/>
        <w:jc w:val="both"/>
        <w:rPr>
          <w:sz w:val="24"/>
          <w:szCs w:val="24"/>
        </w:rPr>
      </w:pPr>
      <w:r>
        <w:rPr>
          <w:sz w:val="24"/>
          <w:szCs w:val="24"/>
        </w:rPr>
      </w:r>
    </w:p>
    <w:p>
      <w:pPr>
        <w:pStyle w:val="Normal"/>
        <w:spacing w:lineRule="auto" w:line="240"/>
        <w:jc w:val="both"/>
        <w:rPr>
          <w:sz w:val="24"/>
          <w:szCs w:val="24"/>
        </w:rPr>
      </w:pPr>
      <w:r>
        <w:rPr>
          <w:color w:val="000000"/>
          <w:sz w:val="24"/>
          <w:szCs w:val="24"/>
        </w:rPr>
        <w:t>Togher Boys’ National School is</w:t>
      </w:r>
      <w:r>
        <w:rPr>
          <w:sz w:val="24"/>
          <w:szCs w:val="24"/>
        </w:rPr>
        <w:t xml:space="preserve"> committed to upholding the standards outlined in this Safety Statement.  As far as it is practicable to do so, sufficient authority and resources, both financial and otherwise, will be made available to enable staff to carry out their responsibilities in a reasonable and efficient manner. The detailed arrangements for achieving these objectives are set out in the main body of the Safety Statement.  </w:t>
      </w:r>
      <w:r>
        <w:rPr>
          <w:color w:val="000000"/>
          <w:sz w:val="24"/>
          <w:szCs w:val="24"/>
        </w:rPr>
        <w:t xml:space="preserve">Togher Boys’ </w:t>
      </w:r>
      <w:r>
        <w:rPr>
          <w:sz w:val="24"/>
          <w:szCs w:val="24"/>
        </w:rPr>
        <w:t>National School is also committed to managing and conducting work activities in such a way as to prevent, so far as is reasonably practicable, any improper conduct or behaviour (including bullying/harassment) likely to put the safety, health or welfare at work of their employees at risk and has formally adopted the Dignity at Work Policy for the Health Services.</w:t>
      </w:r>
    </w:p>
    <w:p>
      <w:pPr>
        <w:pStyle w:val="Normal"/>
        <w:spacing w:lineRule="auto" w:line="240"/>
        <w:jc w:val="both"/>
        <w:rPr>
          <w:sz w:val="24"/>
          <w:szCs w:val="24"/>
        </w:rPr>
      </w:pPr>
      <w:r>
        <w:rPr>
          <w:sz w:val="24"/>
          <w:szCs w:val="24"/>
        </w:rPr>
        <w:t xml:space="preserve">All employees will be made aware of and have access to this Safety Statement.  The Safety Statement will also be available to third parties where appropriate.  Employees are encouraged to put forward suggestions for improvement to this document.  The Safety Statement will be reviewed in light of experience and future developments within the organisation and changes in legislation. This Safety Statement requires the co-operation of all staff, visitors, contractors and others to enable </w:t>
      </w:r>
      <w:r>
        <w:rPr>
          <w:color w:val="000000"/>
          <w:sz w:val="24"/>
          <w:szCs w:val="24"/>
        </w:rPr>
        <w:t xml:space="preserve">Togher Boys’ </w:t>
      </w:r>
      <w:r>
        <w:rPr>
          <w:sz w:val="24"/>
          <w:szCs w:val="24"/>
        </w:rPr>
        <w:t xml:space="preserve">National School to discharge its responsibilities under law.  </w:t>
      </w:r>
    </w:p>
    <w:p>
      <w:pPr>
        <w:pStyle w:val="Default"/>
        <w:rPr>
          <w:rFonts w:ascii="Calibri" w:hAnsi="Calibri" w:cs="Tahoma"/>
          <w:b/>
          <w:b/>
          <w:bCs/>
          <w:sz w:val="23"/>
          <w:szCs w:val="23"/>
          <w:u w:val="single"/>
        </w:rPr>
      </w:pPr>
      <w:r>
        <w:rPr>
          <w:rFonts w:cs="Tahoma" w:ascii="Calibri" w:hAnsi="Calibri"/>
          <w:b/>
          <w:sz w:val="23"/>
          <w:szCs w:val="23"/>
        </w:rPr>
        <w:t>Signed</w:t>
      </w:r>
      <w:r>
        <w:rPr>
          <w:rFonts w:cs="Tahoma" w:ascii="Calibri" w:hAnsi="Calibri"/>
          <w:b/>
          <w:bCs/>
          <w:sz w:val="23"/>
          <w:szCs w:val="23"/>
        </w:rPr>
        <w:t xml:space="preserve">: </w:t>
      </w:r>
      <w:r>
        <w:rPr>
          <w:rFonts w:cs="Tahoma" w:ascii="Palace Script MT" w:hAnsi="Palace Script MT"/>
          <w:b/>
          <w:bCs/>
          <w:sz w:val="36"/>
          <w:szCs w:val="23"/>
          <w:u w:val="single"/>
        </w:rPr>
        <w:t xml:space="preserve"> __________________</w:t>
      </w:r>
    </w:p>
    <w:p>
      <w:pPr>
        <w:pStyle w:val="Default"/>
        <w:rPr>
          <w:rFonts w:ascii="Calibri" w:hAnsi="Calibri" w:cs="Tahoma"/>
          <w:b/>
          <w:b/>
          <w:bCs/>
          <w:sz w:val="23"/>
          <w:szCs w:val="23"/>
          <w:u w:val="single"/>
        </w:rPr>
      </w:pPr>
      <w:r>
        <w:rPr>
          <w:rFonts w:cs="Tahoma" w:ascii="Calibri" w:hAnsi="Calibri"/>
          <w:b/>
          <w:bCs/>
          <w:sz w:val="23"/>
          <w:szCs w:val="23"/>
          <w:u w:val="single"/>
        </w:rPr>
      </w:r>
    </w:p>
    <w:p>
      <w:pPr>
        <w:pStyle w:val="Default"/>
        <w:rPr>
          <w:rFonts w:ascii="Calibri" w:hAnsi="Calibri" w:cs="Tahoma"/>
          <w:sz w:val="23"/>
          <w:szCs w:val="23"/>
        </w:rPr>
      </w:pPr>
      <w:r>
        <w:rPr>
          <w:rFonts w:cs="Tahoma" w:ascii="Calibri" w:hAnsi="Calibri"/>
          <w:sz w:val="23"/>
          <w:szCs w:val="23"/>
        </w:rPr>
        <w:t xml:space="preserve">             </w:t>
      </w:r>
      <w:r>
        <w:rPr>
          <w:rFonts w:cs="Tahoma" w:ascii="Calibri" w:hAnsi="Calibri"/>
          <w:sz w:val="23"/>
          <w:szCs w:val="23"/>
        </w:rPr>
        <w:t xml:space="preserve">(On behalf of Board of Management) </w:t>
      </w:r>
    </w:p>
    <w:p>
      <w:pPr>
        <w:pStyle w:val="Default"/>
        <w:rPr>
          <w:rFonts w:ascii="Calibri" w:hAnsi="Calibri" w:cs="Tahoma"/>
          <w:sz w:val="23"/>
          <w:szCs w:val="23"/>
        </w:rPr>
      </w:pPr>
      <w:r>
        <w:rPr>
          <w:rFonts w:cs="Tahoma" w:ascii="Calibri" w:hAnsi="Calibri"/>
          <w:sz w:val="23"/>
          <w:szCs w:val="23"/>
        </w:rPr>
      </w:r>
    </w:p>
    <w:p>
      <w:pPr>
        <w:pStyle w:val="Heading1"/>
        <w:spacing w:lineRule="auto" w:line="240"/>
        <w:rPr>
          <w:rFonts w:ascii="Calibri" w:hAnsi="Calibri"/>
        </w:rPr>
      </w:pPr>
      <w:bookmarkStart w:id="2" w:name="_Toc244923546"/>
      <w:r>
        <w:rPr>
          <w:rFonts w:ascii="Calibri" w:hAnsi="Calibri"/>
        </w:rPr>
        <w:t>2. Responsibilities</w:t>
      </w:r>
      <w:bookmarkEnd w:id="2"/>
      <w:r>
        <w:rPr>
          <w:rFonts w:ascii="Calibri" w:hAnsi="Calibri"/>
        </w:rPr>
        <w:t xml:space="preserve"> </w:t>
      </w:r>
    </w:p>
    <w:p>
      <w:pPr>
        <w:pStyle w:val="Normal"/>
        <w:spacing w:lineRule="auto" w:line="240"/>
        <w:rPr/>
      </w:pPr>
      <w:r>
        <w:rPr/>
      </w:r>
    </w:p>
    <w:p>
      <w:pPr>
        <w:pStyle w:val="Heading2"/>
        <w:spacing w:lineRule="auto" w:line="240"/>
        <w:rPr>
          <w:rFonts w:ascii="Calibri" w:hAnsi="Calibri"/>
        </w:rPr>
      </w:pPr>
      <w:bookmarkStart w:id="3" w:name="_Toc244923547"/>
      <w:bookmarkEnd w:id="3"/>
      <w:r>
        <w:rPr>
          <w:rFonts w:ascii="Calibri" w:hAnsi="Calibri"/>
        </w:rPr>
        <w:t>2.1 Board of Management</w:t>
      </w:r>
    </w:p>
    <w:p>
      <w:pPr>
        <w:pStyle w:val="Default"/>
        <w:jc w:val="both"/>
        <w:rPr>
          <w:rFonts w:ascii="Calibri" w:hAnsi="Calibri" w:cs="Tahoma"/>
          <w:sz w:val="23"/>
          <w:szCs w:val="23"/>
        </w:rPr>
      </w:pPr>
      <w:r>
        <w:rPr>
          <w:rFonts w:cs="Tahoma" w:ascii="Calibri" w:hAnsi="Calibri"/>
          <w:sz w:val="23"/>
          <w:szCs w:val="23"/>
        </w:rPr>
        <w:t xml:space="preserve">The Board of Management have responsibility for developing an overall policy for health and safety. The Health and Safety Officer has a key role in promoting awareness of, and developing positive attitudes to health and safety at </w:t>
      </w:r>
      <w:r>
        <w:rPr/>
        <w:t xml:space="preserve">Togher Boys’ </w:t>
      </w:r>
      <w:r>
        <w:rPr>
          <w:rFonts w:cs="Tahoma" w:ascii="Calibri" w:hAnsi="Calibri"/>
          <w:sz w:val="23"/>
          <w:szCs w:val="23"/>
        </w:rPr>
        <w:t>National School.</w:t>
      </w:r>
    </w:p>
    <w:p>
      <w:pPr>
        <w:pStyle w:val="Default"/>
        <w:jc w:val="both"/>
        <w:rPr>
          <w:rFonts w:ascii="Calibri" w:hAnsi="Calibri" w:cs="Tahoma"/>
          <w:sz w:val="23"/>
          <w:szCs w:val="23"/>
        </w:rPr>
      </w:pPr>
      <w:r>
        <w:rPr>
          <w:rFonts w:cs="Tahoma" w:ascii="Calibri" w:hAnsi="Calibri"/>
          <w:sz w:val="23"/>
          <w:szCs w:val="23"/>
        </w:rPr>
      </w:r>
    </w:p>
    <w:p>
      <w:pPr>
        <w:pStyle w:val="Default"/>
        <w:jc w:val="both"/>
        <w:rPr>
          <w:rFonts w:ascii="Calibri" w:hAnsi="Calibri" w:cs="Tahoma"/>
          <w:sz w:val="23"/>
          <w:szCs w:val="23"/>
        </w:rPr>
      </w:pPr>
      <w:r>
        <w:rPr>
          <w:rFonts w:cs="Tahoma" w:ascii="Calibri" w:hAnsi="Calibri"/>
          <w:sz w:val="23"/>
          <w:szCs w:val="23"/>
        </w:rPr>
        <w:t xml:space="preserve">The Board will endeavour to ensure that there are sufficient funds and facilities available to enable the Safety Policy of the School to be implemented. </w:t>
      </w:r>
    </w:p>
    <w:p>
      <w:pPr>
        <w:pStyle w:val="Default"/>
        <w:jc w:val="both"/>
        <w:rPr>
          <w:rFonts w:ascii="Calibri" w:hAnsi="Calibri" w:cs="Tahoma"/>
          <w:sz w:val="23"/>
          <w:szCs w:val="23"/>
        </w:rPr>
      </w:pPr>
      <w:r>
        <w:rPr>
          <w:rFonts w:cs="Tahoma" w:ascii="Calibri" w:hAnsi="Calibri"/>
          <w:sz w:val="23"/>
          <w:szCs w:val="23"/>
        </w:rPr>
      </w:r>
    </w:p>
    <w:p>
      <w:pPr>
        <w:pStyle w:val="Default"/>
        <w:jc w:val="both"/>
        <w:rPr>
          <w:rFonts w:ascii="Calibri" w:hAnsi="Calibri" w:cs="Tahoma"/>
          <w:sz w:val="23"/>
          <w:szCs w:val="23"/>
        </w:rPr>
      </w:pPr>
      <w:r>
        <w:rPr>
          <w:rFonts w:cs="Tahoma" w:ascii="Calibri" w:hAnsi="Calibri"/>
          <w:sz w:val="23"/>
          <w:szCs w:val="23"/>
        </w:rPr>
        <w:t xml:space="preserve">The Principal has been delegated by the Board of Management to co-ordinate matters relating to Safety, Health and Welfare. </w:t>
      </w:r>
    </w:p>
    <w:p>
      <w:pPr>
        <w:pStyle w:val="Default"/>
        <w:jc w:val="both"/>
        <w:rPr>
          <w:rFonts w:ascii="Calibri" w:hAnsi="Calibri" w:cs="Tahoma"/>
          <w:sz w:val="23"/>
          <w:szCs w:val="23"/>
        </w:rPr>
      </w:pPr>
      <w:r>
        <w:rPr>
          <w:rFonts w:cs="Tahoma" w:ascii="Calibri" w:hAnsi="Calibri"/>
          <w:sz w:val="23"/>
          <w:szCs w:val="23"/>
        </w:rPr>
      </w:r>
    </w:p>
    <w:p>
      <w:pPr>
        <w:pStyle w:val="Default"/>
        <w:jc w:val="both"/>
        <w:rPr>
          <w:rFonts w:ascii="Calibri" w:hAnsi="Calibri" w:cs="Tahoma"/>
          <w:sz w:val="23"/>
          <w:szCs w:val="23"/>
        </w:rPr>
      </w:pPr>
      <w:r>
        <w:rPr>
          <w:rFonts w:cs="Tahoma" w:ascii="Calibri" w:hAnsi="Calibri"/>
          <w:sz w:val="23"/>
          <w:szCs w:val="23"/>
        </w:rPr>
        <w:t xml:space="preserve">On Behalf of the Board of Management: </w:t>
      </w:r>
    </w:p>
    <w:p>
      <w:pPr>
        <w:pStyle w:val="Default"/>
        <w:jc w:val="both"/>
        <w:rPr>
          <w:rFonts w:ascii="Calibri" w:hAnsi="Calibri" w:cs="Tahoma"/>
          <w:sz w:val="23"/>
          <w:szCs w:val="23"/>
        </w:rPr>
      </w:pPr>
      <w:r>
        <w:rPr>
          <w:rFonts w:cs="Tahoma" w:ascii="Calibri" w:hAnsi="Calibri"/>
          <w:sz w:val="23"/>
          <w:szCs w:val="23"/>
        </w:rPr>
      </w:r>
    </w:p>
    <w:p>
      <w:pPr>
        <w:pStyle w:val="Default"/>
        <w:pBdr>
          <w:top w:val="single" w:sz="4" w:space="1" w:color="00000A"/>
          <w:left w:val="single" w:sz="4" w:space="4" w:color="00000A"/>
          <w:bottom w:val="single" w:sz="4" w:space="1" w:color="00000A"/>
          <w:right w:val="single" w:sz="4" w:space="4" w:color="00000A"/>
        </w:pBdr>
        <w:rPr>
          <w:rFonts w:ascii="Calibri" w:hAnsi="Calibri" w:cs="Tahoma"/>
          <w:sz w:val="23"/>
          <w:szCs w:val="23"/>
        </w:rPr>
      </w:pPr>
      <w:r>
        <w:rPr>
          <w:rFonts w:cs="Tahoma" w:ascii="Calibri" w:hAnsi="Calibri"/>
          <w:sz w:val="23"/>
          <w:szCs w:val="23"/>
        </w:rPr>
      </w:r>
    </w:p>
    <w:p>
      <w:pPr>
        <w:pStyle w:val="Default"/>
        <w:pBdr>
          <w:top w:val="single" w:sz="4" w:space="1" w:color="00000A"/>
          <w:left w:val="single" w:sz="4" w:space="4" w:color="00000A"/>
          <w:bottom w:val="single" w:sz="4" w:space="1" w:color="00000A"/>
          <w:right w:val="single" w:sz="4" w:space="4" w:color="00000A"/>
        </w:pBdr>
        <w:rPr>
          <w:rFonts w:ascii="Calibri" w:hAnsi="Calibri" w:cs="Tahoma"/>
          <w:sz w:val="23"/>
          <w:szCs w:val="23"/>
        </w:rPr>
      </w:pPr>
      <w:r>
        <w:rPr>
          <w:rFonts w:cs="Tahoma" w:ascii="Calibri" w:hAnsi="Calibri"/>
          <w:sz w:val="23"/>
          <w:szCs w:val="23"/>
        </w:rPr>
        <w:t>Name:  Niall McCarthy</w:t>
      </w:r>
    </w:p>
    <w:p>
      <w:pPr>
        <w:pStyle w:val="Default"/>
        <w:pBdr>
          <w:top w:val="single" w:sz="4" w:space="1" w:color="00000A"/>
          <w:left w:val="single" w:sz="4" w:space="4" w:color="00000A"/>
          <w:bottom w:val="single" w:sz="4" w:space="1" w:color="00000A"/>
          <w:right w:val="single" w:sz="4" w:space="4" w:color="00000A"/>
        </w:pBdr>
        <w:rPr>
          <w:rFonts w:ascii="Calibri" w:hAnsi="Calibri" w:cs="Tahoma"/>
          <w:sz w:val="23"/>
          <w:szCs w:val="23"/>
        </w:rPr>
      </w:pPr>
      <w:r>
        <w:rPr>
          <w:rFonts w:cs="Tahoma" w:ascii="Calibri" w:hAnsi="Calibri"/>
          <w:sz w:val="23"/>
          <w:szCs w:val="23"/>
        </w:rPr>
      </w:r>
    </w:p>
    <w:p>
      <w:pPr>
        <w:pStyle w:val="Default"/>
        <w:pBdr>
          <w:top w:val="single" w:sz="4" w:space="1" w:color="00000A"/>
          <w:left w:val="single" w:sz="4" w:space="4" w:color="00000A"/>
          <w:bottom w:val="single" w:sz="4" w:space="1" w:color="00000A"/>
          <w:right w:val="single" w:sz="4" w:space="4" w:color="00000A"/>
        </w:pBdr>
        <w:rPr>
          <w:rFonts w:ascii="Calibri" w:hAnsi="Calibri" w:cs="Tahoma"/>
          <w:sz w:val="23"/>
          <w:szCs w:val="23"/>
        </w:rPr>
      </w:pPr>
      <w:r>
        <w:rPr>
          <w:rFonts w:cs="Tahoma" w:ascii="Calibri" w:hAnsi="Calibri"/>
          <w:sz w:val="23"/>
          <w:szCs w:val="23"/>
        </w:rPr>
        <w:t xml:space="preserve">Signed: </w:t>
      </w:r>
    </w:p>
    <w:p>
      <w:pPr>
        <w:pStyle w:val="Default"/>
        <w:pBdr>
          <w:top w:val="single" w:sz="4" w:space="1" w:color="00000A"/>
          <w:left w:val="single" w:sz="4" w:space="4" w:color="00000A"/>
          <w:bottom w:val="single" w:sz="4" w:space="1" w:color="00000A"/>
          <w:right w:val="single" w:sz="4" w:space="4" w:color="00000A"/>
        </w:pBdr>
        <w:rPr>
          <w:rFonts w:ascii="Calibri" w:hAnsi="Calibri" w:cs="Tahoma"/>
          <w:sz w:val="23"/>
          <w:szCs w:val="23"/>
        </w:rPr>
      </w:pPr>
      <w:r>
        <w:rPr>
          <w:rFonts w:cs="Tahoma" w:ascii="Calibri" w:hAnsi="Calibri"/>
          <w:sz w:val="23"/>
          <w:szCs w:val="23"/>
        </w:rPr>
        <w:tab/>
        <w:tab/>
        <w:tab/>
        <w:tab/>
        <w:tab/>
        <w:tab/>
        <w:tab/>
        <w:t xml:space="preserve"> </w:t>
      </w:r>
    </w:p>
    <w:p>
      <w:pPr>
        <w:pStyle w:val="Default"/>
        <w:pBdr>
          <w:top w:val="single" w:sz="4" w:space="1" w:color="00000A"/>
          <w:left w:val="single" w:sz="4" w:space="4" w:color="00000A"/>
          <w:bottom w:val="single" w:sz="4" w:space="1" w:color="00000A"/>
          <w:right w:val="single" w:sz="4" w:space="4" w:color="00000A"/>
        </w:pBdr>
        <w:rPr>
          <w:rFonts w:ascii="Calibri" w:hAnsi="Calibri" w:cs="Tahoma"/>
          <w:b/>
          <w:b/>
          <w:bCs/>
          <w:sz w:val="28"/>
          <w:szCs w:val="28"/>
        </w:rPr>
      </w:pPr>
      <w:r>
        <w:rPr>
          <w:rFonts w:cs="Tahoma" w:ascii="Calibri" w:hAnsi="Calibri"/>
          <w:sz w:val="23"/>
          <w:szCs w:val="23"/>
        </w:rPr>
        <w:t xml:space="preserve">Chairperson of Board </w:t>
      </w:r>
      <w:r>
        <w:rPr>
          <w:rFonts w:cs="Tahoma" w:ascii="Calibri" w:hAnsi="Calibri"/>
          <w:b/>
          <w:bCs/>
          <w:sz w:val="28"/>
          <w:szCs w:val="28"/>
        </w:rPr>
        <w:t xml:space="preserve"> </w:t>
        <w:tab/>
        <w:tab/>
        <w:tab/>
        <w:tab/>
        <w:tab/>
      </w:r>
      <w:r>
        <w:rPr>
          <w:rFonts w:cs="Tahoma" w:ascii="Calibri" w:hAnsi="Calibri"/>
          <w:sz w:val="23"/>
          <w:szCs w:val="23"/>
        </w:rPr>
        <w:t xml:space="preserve">Date:  </w:t>
      </w:r>
    </w:p>
    <w:p>
      <w:pPr>
        <w:pStyle w:val="Default"/>
        <w:pBdr>
          <w:top w:val="single" w:sz="4" w:space="1" w:color="00000A"/>
          <w:left w:val="single" w:sz="4" w:space="4" w:color="00000A"/>
          <w:bottom w:val="single" w:sz="4" w:space="1" w:color="00000A"/>
          <w:right w:val="single" w:sz="4" w:space="4" w:color="00000A"/>
        </w:pBdr>
        <w:rPr>
          <w:rFonts w:ascii="Calibri" w:hAnsi="Calibri" w:cs="Tahoma"/>
          <w:sz w:val="20"/>
          <w:szCs w:val="20"/>
        </w:rPr>
      </w:pPr>
      <w:r>
        <w:rPr>
          <w:rFonts w:cs="Tahoma" w:ascii="Calibri" w:hAnsi="Calibri"/>
          <w:sz w:val="20"/>
          <w:szCs w:val="20"/>
        </w:rPr>
      </w:r>
    </w:p>
    <w:p>
      <w:pPr>
        <w:pStyle w:val="Heading2"/>
        <w:spacing w:lineRule="auto" w:line="240"/>
        <w:rPr>
          <w:rFonts w:ascii="Calibri" w:hAnsi="Calibri"/>
        </w:rPr>
      </w:pPr>
      <w:r>
        <w:rPr>
          <w:rFonts w:ascii="Calibri" w:hAnsi="Calibri"/>
        </w:rPr>
      </w:r>
    </w:p>
    <w:p>
      <w:pPr>
        <w:pStyle w:val="Heading2"/>
        <w:spacing w:lineRule="auto" w:line="240"/>
        <w:rPr>
          <w:rFonts w:ascii="Calibri" w:hAnsi="Calibri"/>
        </w:rPr>
      </w:pPr>
      <w:bookmarkStart w:id="4" w:name="_Toc244923548"/>
      <w:bookmarkEnd w:id="4"/>
      <w:r>
        <w:rPr>
          <w:rFonts w:ascii="Calibri" w:hAnsi="Calibri"/>
        </w:rPr>
        <w:t>2.2 Chairperson</w:t>
      </w:r>
    </w:p>
    <w:p>
      <w:pPr>
        <w:pStyle w:val="Default"/>
        <w:jc w:val="both"/>
        <w:rPr>
          <w:rFonts w:ascii="Calibri" w:hAnsi="Calibri" w:cs="Tahoma"/>
          <w:sz w:val="23"/>
          <w:szCs w:val="23"/>
        </w:rPr>
      </w:pPr>
      <w:r>
        <w:rPr>
          <w:rFonts w:cs="Tahoma" w:ascii="Calibri" w:hAnsi="Calibri"/>
          <w:sz w:val="23"/>
          <w:szCs w:val="23"/>
        </w:rPr>
      </w:r>
    </w:p>
    <w:p>
      <w:pPr>
        <w:pStyle w:val="Default"/>
        <w:jc w:val="both"/>
        <w:rPr>
          <w:rFonts w:ascii="Calibri" w:hAnsi="Calibri" w:cs="Tahoma"/>
          <w:sz w:val="23"/>
          <w:szCs w:val="23"/>
        </w:rPr>
      </w:pPr>
      <w:r>
        <w:rPr>
          <w:rFonts w:cs="Tahoma" w:ascii="Calibri" w:hAnsi="Calibri"/>
          <w:sz w:val="23"/>
          <w:szCs w:val="23"/>
        </w:rPr>
        <w:t xml:space="preserve">The Chairperson has ultimate responsibility for the establishment and maintenance of an effective Health and Safety Policy for the staff of the School by: </w:t>
      </w:r>
    </w:p>
    <w:p>
      <w:pPr>
        <w:pStyle w:val="Default"/>
        <w:jc w:val="both"/>
        <w:rPr>
          <w:rFonts w:ascii="Calibri" w:hAnsi="Calibri" w:cs="Tahoma"/>
          <w:sz w:val="23"/>
          <w:szCs w:val="23"/>
        </w:rPr>
      </w:pPr>
      <w:r>
        <w:rPr>
          <w:rFonts w:cs="Tahoma" w:ascii="Calibri" w:hAnsi="Calibri"/>
          <w:sz w:val="23"/>
          <w:szCs w:val="23"/>
        </w:rPr>
      </w:r>
    </w:p>
    <w:p>
      <w:pPr>
        <w:pStyle w:val="Default"/>
        <w:numPr>
          <w:ilvl w:val="0"/>
          <w:numId w:val="6"/>
        </w:numPr>
        <w:ind w:left="284" w:hanging="284"/>
        <w:jc w:val="both"/>
        <w:rPr>
          <w:rFonts w:ascii="Calibri" w:hAnsi="Calibri" w:cs="Tahoma"/>
          <w:sz w:val="23"/>
          <w:szCs w:val="23"/>
        </w:rPr>
      </w:pPr>
      <w:r>
        <w:rPr>
          <w:rFonts w:cs="Tahoma" w:ascii="Calibri" w:hAnsi="Calibri"/>
          <w:sz w:val="23"/>
          <w:szCs w:val="23"/>
        </w:rPr>
        <w:t xml:space="preserve">Actively supporting the School Health and Safety Management Programme </w:t>
      </w:r>
    </w:p>
    <w:p>
      <w:pPr>
        <w:pStyle w:val="Default"/>
        <w:numPr>
          <w:ilvl w:val="0"/>
          <w:numId w:val="6"/>
        </w:numPr>
        <w:ind w:left="284" w:hanging="284"/>
        <w:jc w:val="both"/>
        <w:rPr>
          <w:rFonts w:ascii="Calibri" w:hAnsi="Calibri" w:cs="Tahoma"/>
          <w:sz w:val="23"/>
          <w:szCs w:val="23"/>
        </w:rPr>
      </w:pPr>
      <w:r>
        <w:rPr>
          <w:rFonts w:cs="Tahoma" w:ascii="Calibri" w:hAnsi="Calibri"/>
          <w:sz w:val="23"/>
          <w:szCs w:val="23"/>
        </w:rPr>
        <w:t xml:space="preserve">Ensuring that medical staff carry out practices and procedures in accordance with School guidelines and/or medical best practice; </w:t>
      </w:r>
    </w:p>
    <w:p>
      <w:pPr>
        <w:pStyle w:val="Default"/>
        <w:numPr>
          <w:ilvl w:val="0"/>
          <w:numId w:val="6"/>
        </w:numPr>
        <w:ind w:left="284" w:hanging="284"/>
        <w:jc w:val="both"/>
        <w:rPr>
          <w:rFonts w:ascii="Calibri" w:hAnsi="Calibri" w:cs="Tahoma"/>
          <w:sz w:val="23"/>
          <w:szCs w:val="23"/>
        </w:rPr>
      </w:pPr>
      <w:r>
        <w:rPr>
          <w:rFonts w:cs="Tahoma" w:ascii="Calibri" w:hAnsi="Calibri"/>
          <w:sz w:val="23"/>
          <w:szCs w:val="23"/>
        </w:rPr>
        <w:t xml:space="preserve">Identifying training and information needs of staff relating to health and safety; </w:t>
      </w:r>
    </w:p>
    <w:p>
      <w:pPr>
        <w:pStyle w:val="Default"/>
        <w:numPr>
          <w:ilvl w:val="0"/>
          <w:numId w:val="6"/>
        </w:numPr>
        <w:ind w:left="284" w:hanging="284"/>
        <w:jc w:val="both"/>
        <w:rPr>
          <w:rFonts w:ascii="Calibri" w:hAnsi="Calibri" w:cs="Tahoma"/>
          <w:sz w:val="23"/>
          <w:szCs w:val="23"/>
        </w:rPr>
      </w:pPr>
      <w:r>
        <w:rPr>
          <w:rFonts w:cs="Tahoma" w:ascii="Calibri" w:hAnsi="Calibri"/>
          <w:sz w:val="23"/>
          <w:szCs w:val="23"/>
        </w:rPr>
        <w:t xml:space="preserve">Consulting with specialist departments (Infection control/Occupational Health/Health and Safety/Risk Management, etc;) where necessary to eliminate work place hazards; </w:t>
      </w:r>
    </w:p>
    <w:p>
      <w:pPr>
        <w:pStyle w:val="Default"/>
        <w:numPr>
          <w:ilvl w:val="0"/>
          <w:numId w:val="6"/>
        </w:numPr>
        <w:ind w:left="284" w:hanging="284"/>
        <w:jc w:val="both"/>
        <w:rPr>
          <w:rFonts w:ascii="Calibri" w:hAnsi="Calibri" w:cs="Tahoma"/>
          <w:sz w:val="23"/>
          <w:szCs w:val="23"/>
        </w:rPr>
      </w:pPr>
      <w:r>
        <w:rPr>
          <w:rFonts w:cs="Tahoma" w:ascii="Calibri" w:hAnsi="Calibri"/>
          <w:sz w:val="23"/>
          <w:szCs w:val="23"/>
        </w:rPr>
        <w:t xml:space="preserve">Managing staff attendance at mandatory health, safety and welfare training where provided by the School; </w:t>
      </w:r>
    </w:p>
    <w:p>
      <w:pPr>
        <w:pStyle w:val="Default"/>
        <w:numPr>
          <w:ilvl w:val="0"/>
          <w:numId w:val="6"/>
        </w:numPr>
        <w:ind w:left="284" w:hanging="284"/>
        <w:jc w:val="both"/>
        <w:rPr>
          <w:rFonts w:ascii="Calibri" w:hAnsi="Calibri" w:cs="Tahoma"/>
          <w:sz w:val="23"/>
          <w:szCs w:val="23"/>
        </w:rPr>
      </w:pPr>
      <w:r>
        <w:rPr>
          <w:rFonts w:cs="Tahoma" w:ascii="Calibri" w:hAnsi="Calibri"/>
          <w:sz w:val="23"/>
          <w:szCs w:val="23"/>
        </w:rPr>
        <w:t>Ensuring that staff are aware of the location of the School safety statement and read same and</w:t>
      </w:r>
    </w:p>
    <w:p>
      <w:pPr>
        <w:pStyle w:val="Default"/>
        <w:numPr>
          <w:ilvl w:val="0"/>
          <w:numId w:val="6"/>
        </w:numPr>
        <w:ind w:left="284" w:hanging="284"/>
        <w:jc w:val="both"/>
        <w:rPr>
          <w:rFonts w:ascii="Calibri" w:hAnsi="Calibri" w:cs="Tahoma"/>
          <w:sz w:val="23"/>
          <w:szCs w:val="23"/>
        </w:rPr>
      </w:pPr>
      <w:r>
        <w:rPr>
          <w:rFonts w:cs="Tahoma" w:ascii="Calibri" w:hAnsi="Calibri"/>
          <w:sz w:val="23"/>
          <w:szCs w:val="23"/>
        </w:rPr>
        <w:t xml:space="preserve">Participating in the audit and review of the School Health and Safety Management Programme. </w:t>
      </w:r>
    </w:p>
    <w:p>
      <w:pPr>
        <w:pStyle w:val="Default"/>
        <w:ind w:left="426" w:hanging="426"/>
        <w:jc w:val="both"/>
        <w:rPr>
          <w:rFonts w:ascii="Calibri" w:hAnsi="Calibri" w:cs="Tahoma"/>
          <w:sz w:val="23"/>
          <w:szCs w:val="23"/>
        </w:rPr>
      </w:pPr>
      <w:r>
        <w:rPr>
          <w:rFonts w:cs="Tahoma" w:ascii="Calibri" w:hAnsi="Calibri"/>
          <w:sz w:val="23"/>
          <w:szCs w:val="23"/>
        </w:rPr>
      </w:r>
    </w:p>
    <w:p>
      <w:pPr>
        <w:pStyle w:val="Default"/>
        <w:rPr>
          <w:rFonts w:ascii="Calibri" w:hAnsi="Calibri" w:cs="Tahoma"/>
          <w:sz w:val="23"/>
          <w:szCs w:val="23"/>
        </w:rPr>
      </w:pPr>
      <w:r>
        <w:rPr>
          <w:rFonts w:cs="Tahoma" w:ascii="Calibri" w:hAnsi="Calibri"/>
          <w:sz w:val="23"/>
          <w:szCs w:val="23"/>
        </w:rPr>
      </w:r>
    </w:p>
    <w:p>
      <w:pPr>
        <w:pStyle w:val="Default"/>
        <w:rPr>
          <w:rFonts w:ascii="Calibri" w:hAnsi="Calibri" w:cs="Tahoma"/>
          <w:sz w:val="23"/>
          <w:szCs w:val="23"/>
        </w:rPr>
      </w:pPr>
      <w:r>
        <w:rPr>
          <w:rFonts w:cs="Tahoma" w:ascii="Calibri" w:hAnsi="Calibri"/>
          <w:b/>
          <w:sz w:val="23"/>
          <w:szCs w:val="23"/>
        </w:rPr>
        <w:t>Signed:</w:t>
      </w:r>
      <w:r>
        <w:rPr>
          <w:rFonts w:cs="Tahoma" w:ascii="Calibri" w:hAnsi="Calibri"/>
          <w:sz w:val="23"/>
          <w:szCs w:val="23"/>
        </w:rPr>
        <w:t xml:space="preserve"> </w:t>
      </w:r>
      <w:r>
        <w:rPr>
          <w:rFonts w:cs="Tahoma" w:ascii="Script MT Bold" w:hAnsi="Script MT Bold"/>
          <w:b/>
          <w:bCs/>
          <w:sz w:val="23"/>
          <w:szCs w:val="23"/>
        </w:rPr>
        <w:t xml:space="preserve">                        </w:t>
      </w:r>
      <w:r>
        <w:rPr>
          <w:rFonts w:cs="Tahoma" w:ascii="Calibri" w:hAnsi="Calibri"/>
          <w:b/>
          <w:bCs/>
          <w:sz w:val="23"/>
          <w:szCs w:val="23"/>
        </w:rPr>
        <w:t xml:space="preserve">                  </w:t>
      </w:r>
      <w:r>
        <w:rPr>
          <w:rFonts w:cs="Tahoma" w:ascii="Calibri" w:hAnsi="Calibri"/>
          <w:b/>
          <w:sz w:val="23"/>
          <w:szCs w:val="23"/>
        </w:rPr>
        <w:t>Date</w:t>
      </w:r>
      <w:r>
        <w:rPr>
          <w:rFonts w:cs="Tahoma" w:ascii="Calibri" w:hAnsi="Calibri"/>
          <w:sz w:val="23"/>
          <w:szCs w:val="23"/>
        </w:rPr>
        <w:t xml:space="preserve">:  </w:t>
      </w:r>
    </w:p>
    <w:p>
      <w:pPr>
        <w:pStyle w:val="Default"/>
        <w:rPr>
          <w:rFonts w:ascii="Calibri" w:hAnsi="Calibri" w:cs="Tahoma"/>
          <w:sz w:val="23"/>
          <w:szCs w:val="23"/>
        </w:rPr>
      </w:pPr>
      <w:r>
        <w:rPr>
          <w:rFonts w:cs="Tahoma" w:ascii="Calibri" w:hAnsi="Calibri"/>
          <w:sz w:val="23"/>
          <w:szCs w:val="23"/>
        </w:rPr>
      </w:r>
    </w:p>
    <w:p>
      <w:pPr>
        <w:pStyle w:val="Heading1"/>
        <w:spacing w:lineRule="auto" w:line="240"/>
        <w:rPr>
          <w:rFonts w:ascii="Calibri" w:hAnsi="Calibri"/>
        </w:rPr>
      </w:pPr>
      <w:bookmarkStart w:id="5" w:name="_Toc244923549"/>
      <w:r>
        <w:rPr>
          <w:rFonts w:ascii="Calibri" w:hAnsi="Calibri"/>
        </w:rPr>
        <w:t>3. Duties of Employers</w:t>
      </w:r>
      <w:bookmarkEnd w:id="5"/>
      <w:r>
        <w:rPr>
          <w:rFonts w:ascii="Calibri" w:hAnsi="Calibri"/>
        </w:rPr>
        <w:t xml:space="preserve"> </w:t>
      </w:r>
    </w:p>
    <w:p>
      <w:pPr>
        <w:pStyle w:val="Heading2"/>
        <w:spacing w:lineRule="auto" w:line="240"/>
        <w:rPr>
          <w:rFonts w:ascii="Calibri" w:hAnsi="Calibri"/>
        </w:rPr>
      </w:pPr>
      <w:bookmarkStart w:id="6" w:name="_Toc244923550"/>
      <w:r>
        <w:rPr>
          <w:rFonts w:ascii="Calibri" w:hAnsi="Calibri"/>
        </w:rPr>
        <w:t>3.1 General Duties of Employers</w:t>
      </w:r>
      <w:bookmarkEnd w:id="6"/>
      <w:r>
        <w:rPr>
          <w:rFonts w:ascii="Calibri" w:hAnsi="Calibri"/>
        </w:rPr>
        <w:t xml:space="preserve"> </w:t>
      </w:r>
    </w:p>
    <w:p>
      <w:pPr>
        <w:pStyle w:val="Default"/>
        <w:jc w:val="both"/>
        <w:rPr>
          <w:rFonts w:ascii="Calibri" w:hAnsi="Calibri" w:cs="Tahoma"/>
          <w:sz w:val="23"/>
          <w:szCs w:val="23"/>
        </w:rPr>
      </w:pPr>
      <w:r>
        <w:rPr>
          <w:rFonts w:cs="Tahoma" w:ascii="Calibri" w:hAnsi="Calibri"/>
          <w:i/>
          <w:iCs/>
          <w:sz w:val="23"/>
          <w:szCs w:val="23"/>
        </w:rPr>
        <w:t xml:space="preserve">The Safety, Health and Welfare at Act, 2005. (SHWW Act) Part 2, Section (8) - General duties of Employers </w:t>
      </w:r>
      <w:r>
        <w:rPr>
          <w:rFonts w:cs="Tahoma" w:ascii="Calibri" w:hAnsi="Calibri"/>
          <w:sz w:val="23"/>
          <w:szCs w:val="23"/>
        </w:rPr>
        <w:t xml:space="preserve">- </w:t>
      </w:r>
      <w:r>
        <w:rPr>
          <w:rFonts w:cs="Tahoma" w:ascii="Calibri" w:hAnsi="Calibri"/>
          <w:i/>
          <w:iCs/>
          <w:sz w:val="23"/>
          <w:szCs w:val="23"/>
        </w:rPr>
        <w:t xml:space="preserve">Every employer shall ensure, so far as is reasonably practicable, the safety, health and welfare at work of his or her employees </w:t>
      </w:r>
    </w:p>
    <w:p>
      <w:pPr>
        <w:pStyle w:val="Default"/>
        <w:jc w:val="both"/>
        <w:rPr>
          <w:rFonts w:ascii="Calibri" w:hAnsi="Calibri" w:cs="Tahoma"/>
          <w:sz w:val="23"/>
          <w:szCs w:val="23"/>
        </w:rPr>
      </w:pPr>
      <w:r>
        <w:rPr>
          <w:rFonts w:cs="Tahoma" w:ascii="Calibri" w:hAnsi="Calibri"/>
          <w:sz w:val="23"/>
          <w:szCs w:val="23"/>
        </w:rPr>
      </w:r>
    </w:p>
    <w:p>
      <w:pPr>
        <w:pStyle w:val="Default"/>
        <w:rPr>
          <w:rFonts w:ascii="Calibri" w:hAnsi="Calibri" w:cs="Tahoma"/>
          <w:sz w:val="23"/>
          <w:szCs w:val="23"/>
        </w:rPr>
      </w:pPr>
      <w:r>
        <w:rPr>
          <w:rFonts w:cs="Tahoma" w:ascii="Calibri" w:hAnsi="Calibri"/>
          <w:b/>
          <w:bCs/>
          <w:sz w:val="23"/>
          <w:szCs w:val="23"/>
        </w:rPr>
        <w:t xml:space="preserve">General Duties of Employers </w:t>
      </w:r>
    </w:p>
    <w:p>
      <w:pPr>
        <w:pStyle w:val="Default"/>
        <w:numPr>
          <w:ilvl w:val="0"/>
          <w:numId w:val="7"/>
        </w:numPr>
        <w:ind w:left="284" w:hanging="284"/>
        <w:jc w:val="both"/>
        <w:rPr>
          <w:rFonts w:ascii="Calibri" w:hAnsi="Calibri" w:cs="Tahoma"/>
          <w:sz w:val="23"/>
          <w:szCs w:val="23"/>
        </w:rPr>
      </w:pPr>
      <w:r>
        <w:rPr>
          <w:rFonts w:cs="Tahoma" w:ascii="Calibri" w:hAnsi="Calibri"/>
          <w:sz w:val="23"/>
          <w:szCs w:val="23"/>
        </w:rPr>
        <w:t xml:space="preserve">It shall be the duty of every employer to ensure; so far as is reasonably practicable, the safety health and welfare at work of all his/her employees. </w:t>
      </w:r>
    </w:p>
    <w:p>
      <w:pPr>
        <w:pStyle w:val="Default"/>
        <w:numPr>
          <w:ilvl w:val="0"/>
          <w:numId w:val="7"/>
        </w:numPr>
        <w:ind w:left="284" w:hanging="284"/>
        <w:jc w:val="both"/>
        <w:rPr>
          <w:rFonts w:ascii="Calibri" w:hAnsi="Calibri" w:cs="Tahoma"/>
          <w:sz w:val="23"/>
          <w:szCs w:val="23"/>
        </w:rPr>
      </w:pPr>
      <w:r>
        <w:rPr>
          <w:rFonts w:cs="Tahoma" w:ascii="Calibri" w:hAnsi="Calibri"/>
          <w:sz w:val="23"/>
          <w:szCs w:val="23"/>
        </w:rPr>
        <w:t xml:space="preserve">Without prejudice to the generality of an employer’s duty under subsection (1), the matters to which that duty extends includes in particular: </w:t>
      </w:r>
    </w:p>
    <w:p>
      <w:pPr>
        <w:pStyle w:val="Default"/>
        <w:numPr>
          <w:ilvl w:val="0"/>
          <w:numId w:val="8"/>
        </w:numPr>
        <w:ind w:left="567" w:hanging="284"/>
        <w:jc w:val="both"/>
        <w:rPr>
          <w:rFonts w:ascii="Calibri" w:hAnsi="Calibri" w:cs="Tahoma"/>
          <w:sz w:val="23"/>
          <w:szCs w:val="23"/>
        </w:rPr>
      </w:pPr>
      <w:r>
        <w:rPr>
          <w:rFonts w:cs="Tahoma" w:ascii="Calibri" w:hAnsi="Calibri"/>
          <w:sz w:val="23"/>
          <w:szCs w:val="23"/>
        </w:rPr>
        <w:t xml:space="preserve">As regards any place of work under the employer’s control, the design, the provision and the maintenance of it in a condition that is, as far as is reasonably practicable, safe and without risk to health. </w:t>
      </w:r>
    </w:p>
    <w:p>
      <w:pPr>
        <w:pStyle w:val="Default"/>
        <w:numPr>
          <w:ilvl w:val="0"/>
          <w:numId w:val="8"/>
        </w:numPr>
        <w:ind w:left="567" w:hanging="284"/>
        <w:jc w:val="both"/>
        <w:rPr>
          <w:rFonts w:ascii="Calibri" w:hAnsi="Calibri" w:cs="Tahoma"/>
          <w:sz w:val="23"/>
          <w:szCs w:val="23"/>
        </w:rPr>
      </w:pPr>
      <w:r>
        <w:rPr>
          <w:rFonts w:cs="Tahoma" w:ascii="Calibri" w:hAnsi="Calibri"/>
          <w:sz w:val="23"/>
          <w:szCs w:val="23"/>
        </w:rPr>
        <w:t xml:space="preserve">So far as is reasonably practicable, as regards any place of work under the employer’s control, the design, the provision and the maintenance of safe means of access to and egress from it. </w:t>
      </w:r>
    </w:p>
    <w:p>
      <w:pPr>
        <w:pStyle w:val="Default"/>
        <w:numPr>
          <w:ilvl w:val="0"/>
          <w:numId w:val="8"/>
        </w:numPr>
        <w:ind w:left="567" w:hanging="284"/>
        <w:jc w:val="both"/>
        <w:rPr>
          <w:rFonts w:ascii="Calibri" w:hAnsi="Calibri" w:cs="Tahoma"/>
          <w:sz w:val="23"/>
          <w:szCs w:val="23"/>
        </w:rPr>
      </w:pPr>
      <w:r>
        <w:rPr>
          <w:rFonts w:cs="Tahoma" w:ascii="Calibri" w:hAnsi="Calibri"/>
          <w:sz w:val="23"/>
          <w:szCs w:val="23"/>
        </w:rPr>
        <w:t xml:space="preserve">The design, the provision and the maintenance of plant and machinery that are so far as is reasonably practicable, safe and without risk to health. </w:t>
      </w:r>
    </w:p>
    <w:p>
      <w:pPr>
        <w:pStyle w:val="Default"/>
        <w:numPr>
          <w:ilvl w:val="0"/>
          <w:numId w:val="8"/>
        </w:numPr>
        <w:ind w:left="567" w:hanging="284"/>
        <w:jc w:val="both"/>
        <w:rPr>
          <w:rFonts w:ascii="Calibri" w:hAnsi="Calibri" w:cs="Tahoma"/>
          <w:sz w:val="23"/>
          <w:szCs w:val="23"/>
        </w:rPr>
      </w:pPr>
      <w:r>
        <w:rPr>
          <w:rFonts w:cs="Tahoma" w:ascii="Calibri" w:hAnsi="Calibri"/>
          <w:sz w:val="23"/>
          <w:szCs w:val="23"/>
        </w:rPr>
        <w:t xml:space="preserve">The provision of systems of work that are planned, organised, performed and maintained so as to be as far as is reasonably practicable, safe and without risk to health. </w:t>
      </w:r>
    </w:p>
    <w:p>
      <w:pPr>
        <w:pStyle w:val="Default"/>
        <w:numPr>
          <w:ilvl w:val="0"/>
          <w:numId w:val="8"/>
        </w:numPr>
        <w:ind w:left="567" w:hanging="284"/>
        <w:jc w:val="both"/>
        <w:rPr>
          <w:rFonts w:ascii="Calibri" w:hAnsi="Calibri" w:cs="Tahoma"/>
          <w:sz w:val="23"/>
          <w:szCs w:val="23"/>
        </w:rPr>
      </w:pPr>
      <w:r>
        <w:rPr>
          <w:rFonts w:cs="Tahoma" w:ascii="Calibri" w:hAnsi="Calibri"/>
          <w:sz w:val="23"/>
          <w:szCs w:val="23"/>
        </w:rPr>
        <w:t>The provision of information, instruction, training and supervision as is necessary to ensure, so far as is reasonably practicable, the safety and health at work of his/her employees (</w:t>
      </w:r>
      <w:r>
        <w:rPr>
          <w:rFonts w:cs="Tahoma" w:ascii="Calibri" w:hAnsi="Calibri"/>
          <w:i/>
          <w:iCs/>
          <w:sz w:val="23"/>
          <w:szCs w:val="23"/>
        </w:rPr>
        <w:t xml:space="preserve">SHWW Act, 2005, Part 2, Section 10). </w:t>
      </w:r>
    </w:p>
    <w:p>
      <w:pPr>
        <w:pStyle w:val="Default"/>
        <w:numPr>
          <w:ilvl w:val="0"/>
          <w:numId w:val="8"/>
        </w:numPr>
        <w:ind w:left="567" w:hanging="284"/>
        <w:jc w:val="both"/>
        <w:rPr>
          <w:rFonts w:ascii="Calibri" w:hAnsi="Calibri" w:cs="Tahoma"/>
          <w:sz w:val="23"/>
          <w:szCs w:val="23"/>
        </w:rPr>
      </w:pPr>
      <w:r>
        <w:rPr>
          <w:rFonts w:cs="Tahoma" w:ascii="Calibri" w:hAnsi="Calibri"/>
          <w:sz w:val="23"/>
          <w:szCs w:val="23"/>
        </w:rPr>
        <w:t xml:space="preserve">In circumstances in which it is not reasonably practicable for an employer to control or eliminate hazards in a place of work under his/her control, or in circumstances as may be prescribed, the provision and maintenance of such suitable protective clothing or equipment, as appropriate, that are necessary to ensure the safety and health at work of his/her employees. </w:t>
      </w:r>
    </w:p>
    <w:p>
      <w:pPr>
        <w:pStyle w:val="Default"/>
        <w:numPr>
          <w:ilvl w:val="0"/>
          <w:numId w:val="8"/>
        </w:numPr>
        <w:ind w:left="567" w:hanging="284"/>
        <w:jc w:val="both"/>
        <w:rPr>
          <w:rFonts w:ascii="Calibri" w:hAnsi="Calibri" w:cs="Tahoma"/>
          <w:sz w:val="23"/>
          <w:szCs w:val="23"/>
        </w:rPr>
      </w:pPr>
      <w:r>
        <w:rPr>
          <w:rFonts w:cs="Tahoma" w:ascii="Calibri" w:hAnsi="Calibri"/>
          <w:sz w:val="23"/>
          <w:szCs w:val="23"/>
        </w:rPr>
        <w:t xml:space="preserve">The preparation and revision as necessary of adequate plans to be followed in emergencies. </w:t>
      </w:r>
    </w:p>
    <w:p>
      <w:pPr>
        <w:pStyle w:val="Default"/>
        <w:numPr>
          <w:ilvl w:val="0"/>
          <w:numId w:val="8"/>
        </w:numPr>
        <w:ind w:left="567" w:hanging="284"/>
        <w:jc w:val="both"/>
        <w:rPr>
          <w:rFonts w:ascii="Calibri" w:hAnsi="Calibri" w:cs="Tahoma"/>
          <w:sz w:val="23"/>
          <w:szCs w:val="23"/>
        </w:rPr>
      </w:pPr>
      <w:r>
        <w:rPr>
          <w:rFonts w:cs="Tahoma" w:ascii="Calibri" w:hAnsi="Calibri"/>
          <w:sz w:val="23"/>
          <w:szCs w:val="23"/>
        </w:rPr>
        <w:t xml:space="preserve">To ensure so far as is reasonably practicable, safety and the prevention of risk to health at work in connection with the use of any article or substance. </w:t>
      </w:r>
    </w:p>
    <w:p>
      <w:pPr>
        <w:pStyle w:val="Default"/>
        <w:numPr>
          <w:ilvl w:val="0"/>
          <w:numId w:val="8"/>
        </w:numPr>
        <w:ind w:left="567" w:hanging="284"/>
        <w:jc w:val="both"/>
        <w:rPr>
          <w:rFonts w:ascii="Calibri" w:hAnsi="Calibri" w:cs="Tahoma"/>
          <w:sz w:val="23"/>
          <w:szCs w:val="23"/>
        </w:rPr>
      </w:pPr>
      <w:r>
        <w:rPr>
          <w:rFonts w:cs="Tahoma" w:ascii="Calibri" w:hAnsi="Calibri"/>
          <w:sz w:val="23"/>
          <w:szCs w:val="23"/>
        </w:rPr>
        <w:t xml:space="preserve">The provision and maintenance of facilities and arrangements for the welfare of his/her employees at work. </w:t>
      </w:r>
    </w:p>
    <w:p>
      <w:pPr>
        <w:pStyle w:val="Default"/>
        <w:numPr>
          <w:ilvl w:val="0"/>
          <w:numId w:val="8"/>
        </w:numPr>
        <w:ind w:left="567" w:hanging="284"/>
        <w:jc w:val="both"/>
        <w:rPr>
          <w:rFonts w:ascii="Calibri" w:hAnsi="Calibri" w:cs="Tahoma"/>
          <w:sz w:val="23"/>
          <w:szCs w:val="23"/>
        </w:rPr>
      </w:pPr>
      <w:r>
        <w:rPr>
          <w:rFonts w:cs="Tahoma" w:ascii="Calibri" w:hAnsi="Calibri"/>
          <w:sz w:val="23"/>
          <w:szCs w:val="23"/>
        </w:rPr>
        <w:t xml:space="preserve">The obtaining, where necessary, of the services of a competent person for the purpose of ensuring, so far as is reasonably practicable, the safety and health at work of his/her employees. </w:t>
      </w:r>
    </w:p>
    <w:p>
      <w:pPr>
        <w:pStyle w:val="Default"/>
        <w:numPr>
          <w:ilvl w:val="0"/>
          <w:numId w:val="8"/>
        </w:numPr>
        <w:ind w:left="567" w:hanging="284"/>
        <w:jc w:val="both"/>
        <w:rPr>
          <w:rFonts w:ascii="Calibri" w:hAnsi="Calibri" w:cs="Tahoma"/>
          <w:sz w:val="23"/>
          <w:szCs w:val="23"/>
        </w:rPr>
      </w:pPr>
      <w:r>
        <w:rPr>
          <w:rFonts w:cs="Tahoma" w:ascii="Calibri" w:hAnsi="Calibri"/>
          <w:sz w:val="23"/>
          <w:szCs w:val="23"/>
        </w:rPr>
        <w:t xml:space="preserve">To communicate, without prejudice to the generality of </w:t>
      </w:r>
      <w:r>
        <w:rPr>
          <w:rFonts w:cs="Tahoma" w:ascii="Calibri" w:hAnsi="Calibri"/>
          <w:i/>
          <w:iCs/>
          <w:sz w:val="23"/>
          <w:szCs w:val="23"/>
        </w:rPr>
        <w:t xml:space="preserve">Section 8, SHWW Act, 2005, </w:t>
      </w:r>
      <w:r>
        <w:rPr>
          <w:rFonts w:cs="Tahoma" w:ascii="Calibri" w:hAnsi="Calibri"/>
          <w:sz w:val="23"/>
          <w:szCs w:val="23"/>
        </w:rPr>
        <w:t xml:space="preserve">Safety, Health and Welfare matters in an appropriate language understood or as the case may be to provide a medium through which safety, health and welfare matters can be communicated. </w:t>
      </w:r>
    </w:p>
    <w:p>
      <w:pPr>
        <w:pStyle w:val="Default"/>
        <w:rPr>
          <w:rFonts w:ascii="Calibri" w:hAnsi="Calibri" w:cs="Tahoma"/>
          <w:sz w:val="23"/>
          <w:szCs w:val="23"/>
        </w:rPr>
      </w:pPr>
      <w:r>
        <w:rPr>
          <w:rFonts w:cs="Tahoma" w:ascii="Calibri" w:hAnsi="Calibri"/>
          <w:sz w:val="23"/>
          <w:szCs w:val="23"/>
        </w:rPr>
      </w:r>
    </w:p>
    <w:p>
      <w:pPr>
        <w:pStyle w:val="Heading2"/>
        <w:spacing w:lineRule="auto" w:line="240"/>
        <w:rPr>
          <w:rFonts w:ascii="Calibri" w:hAnsi="Calibri"/>
        </w:rPr>
      </w:pPr>
      <w:bookmarkStart w:id="7" w:name="_Toc244923551"/>
      <w:r>
        <w:rPr>
          <w:rFonts w:ascii="Calibri" w:hAnsi="Calibri"/>
        </w:rPr>
        <w:t>3.2 General Duties of Employees</w:t>
      </w:r>
      <w:bookmarkEnd w:id="7"/>
      <w:r>
        <w:rPr>
          <w:rFonts w:ascii="Calibri" w:hAnsi="Calibri"/>
        </w:rPr>
        <w:t xml:space="preserve"> </w:t>
      </w:r>
    </w:p>
    <w:p>
      <w:pPr>
        <w:pStyle w:val="Normal"/>
        <w:spacing w:lineRule="auto" w:line="240"/>
        <w:rPr>
          <w:rFonts w:cs="Tahoma"/>
        </w:rPr>
      </w:pPr>
      <w:r>
        <w:rPr>
          <w:rFonts w:cs="Tahoma"/>
        </w:rPr>
        <w:t>The general duties of employees are:</w:t>
      </w:r>
    </w:p>
    <w:p>
      <w:pPr>
        <w:pStyle w:val="Default"/>
        <w:numPr>
          <w:ilvl w:val="0"/>
          <w:numId w:val="9"/>
        </w:numPr>
        <w:ind w:left="284" w:hanging="284"/>
        <w:jc w:val="both"/>
        <w:rPr>
          <w:rFonts w:ascii="Calibri" w:hAnsi="Calibri" w:cs="Tahoma"/>
          <w:sz w:val="23"/>
          <w:szCs w:val="23"/>
        </w:rPr>
      </w:pPr>
      <w:r>
        <w:rPr>
          <w:rFonts w:cs="Tahoma" w:ascii="Calibri" w:hAnsi="Calibri"/>
          <w:sz w:val="23"/>
          <w:szCs w:val="23"/>
        </w:rPr>
        <w:t xml:space="preserve">They are as set out in </w:t>
      </w:r>
      <w:r>
        <w:rPr>
          <w:rFonts w:cs="Tahoma" w:ascii="Calibri" w:hAnsi="Calibri"/>
          <w:i/>
          <w:iCs/>
          <w:sz w:val="23"/>
          <w:szCs w:val="23"/>
        </w:rPr>
        <w:t xml:space="preserve">SHWW Act 2005, Part 2, Section (13) Duties of employees: </w:t>
      </w:r>
    </w:p>
    <w:p>
      <w:pPr>
        <w:pStyle w:val="Default"/>
        <w:numPr>
          <w:ilvl w:val="0"/>
          <w:numId w:val="9"/>
        </w:numPr>
        <w:ind w:left="284" w:hanging="284"/>
        <w:jc w:val="both"/>
        <w:rPr>
          <w:rFonts w:ascii="Calibri" w:hAnsi="Calibri" w:cs="Tahoma"/>
          <w:sz w:val="23"/>
          <w:szCs w:val="23"/>
        </w:rPr>
      </w:pPr>
      <w:r>
        <w:rPr>
          <w:rFonts w:cs="Tahoma" w:ascii="Calibri" w:hAnsi="Calibri"/>
          <w:sz w:val="23"/>
          <w:szCs w:val="23"/>
        </w:rPr>
        <w:t xml:space="preserve">To co-operate with management and other staff in achieving the objectives laid out in the Safety Statement and all associated School Safety, Health and Welfare Procedures and Guidelines; </w:t>
      </w:r>
    </w:p>
    <w:p>
      <w:pPr>
        <w:pStyle w:val="Default"/>
        <w:numPr>
          <w:ilvl w:val="0"/>
          <w:numId w:val="9"/>
        </w:numPr>
        <w:ind w:left="284" w:hanging="284"/>
        <w:jc w:val="both"/>
        <w:rPr>
          <w:rFonts w:ascii="Calibri" w:hAnsi="Calibri" w:cs="Tahoma"/>
          <w:sz w:val="23"/>
          <w:szCs w:val="23"/>
        </w:rPr>
      </w:pPr>
      <w:r>
        <w:rPr>
          <w:rFonts w:cs="Tahoma" w:ascii="Calibri" w:hAnsi="Calibri"/>
          <w:sz w:val="23"/>
          <w:szCs w:val="23"/>
        </w:rPr>
        <w:t xml:space="preserve">To take responsible care for his/her own safety, health and welfare and that of others who may be affected by his/her acts or omissions; </w:t>
      </w:r>
    </w:p>
    <w:p>
      <w:pPr>
        <w:pStyle w:val="Default"/>
        <w:numPr>
          <w:ilvl w:val="0"/>
          <w:numId w:val="9"/>
        </w:numPr>
        <w:ind w:left="284" w:hanging="284"/>
        <w:jc w:val="both"/>
        <w:rPr>
          <w:rFonts w:ascii="Calibri" w:hAnsi="Calibri" w:cs="Tahoma"/>
          <w:sz w:val="23"/>
          <w:szCs w:val="23"/>
        </w:rPr>
      </w:pPr>
      <w:r>
        <w:rPr>
          <w:rFonts w:cs="Tahoma" w:ascii="Calibri" w:hAnsi="Calibri"/>
          <w:sz w:val="23"/>
          <w:szCs w:val="23"/>
        </w:rPr>
        <w:t xml:space="preserve">To co-operate with the employer and any other person to enable the employer to comply with any relevant statutory provisions; </w:t>
      </w:r>
    </w:p>
    <w:p>
      <w:pPr>
        <w:pStyle w:val="Default"/>
        <w:numPr>
          <w:ilvl w:val="0"/>
          <w:numId w:val="9"/>
        </w:numPr>
        <w:ind w:left="284" w:hanging="284"/>
        <w:jc w:val="both"/>
        <w:rPr>
          <w:rFonts w:ascii="Calibri" w:hAnsi="Calibri" w:cs="Tahoma"/>
          <w:sz w:val="23"/>
          <w:szCs w:val="23"/>
        </w:rPr>
      </w:pPr>
      <w:r>
        <w:rPr>
          <w:rFonts w:cs="Tahoma" w:ascii="Calibri" w:hAnsi="Calibri"/>
          <w:sz w:val="23"/>
          <w:szCs w:val="23"/>
        </w:rPr>
        <w:t xml:space="preserve">To use any suitable appliances, protective clothing, convenience, equipment or other means provided for securing safety, health and welfare; </w:t>
      </w:r>
    </w:p>
    <w:p>
      <w:pPr>
        <w:pStyle w:val="Default"/>
        <w:numPr>
          <w:ilvl w:val="0"/>
          <w:numId w:val="9"/>
        </w:numPr>
        <w:ind w:left="284" w:hanging="284"/>
        <w:jc w:val="both"/>
        <w:rPr>
          <w:rFonts w:ascii="Calibri" w:hAnsi="Calibri" w:cs="Tahoma"/>
          <w:sz w:val="23"/>
          <w:szCs w:val="23"/>
        </w:rPr>
      </w:pPr>
      <w:r>
        <w:rPr>
          <w:rFonts w:cs="Tahoma" w:ascii="Calibri" w:hAnsi="Calibri"/>
          <w:sz w:val="23"/>
          <w:szCs w:val="23"/>
        </w:rPr>
        <w:t xml:space="preserve">To report to the employer or immediate supervisor any defects of which he/she becomes aware in plant, equipment, place of work, or system of work which might endanger safety, health and welfare; </w:t>
      </w:r>
    </w:p>
    <w:p>
      <w:pPr>
        <w:pStyle w:val="Default"/>
        <w:numPr>
          <w:ilvl w:val="0"/>
          <w:numId w:val="9"/>
        </w:numPr>
        <w:ind w:left="284" w:hanging="284"/>
        <w:jc w:val="both"/>
        <w:rPr>
          <w:rFonts w:ascii="Calibri" w:hAnsi="Calibri" w:cs="Tahoma"/>
          <w:sz w:val="23"/>
          <w:szCs w:val="23"/>
        </w:rPr>
      </w:pPr>
      <w:r>
        <w:rPr>
          <w:rFonts w:cs="Tahoma" w:ascii="Calibri" w:hAnsi="Calibri"/>
          <w:sz w:val="23"/>
          <w:szCs w:val="23"/>
        </w:rPr>
        <w:t xml:space="preserve">Not intentionally, or recklessly interfere with or misuse any appliance, protective clothing, equipment or other means provided, to ensure his/her safety health and welfare; </w:t>
      </w:r>
    </w:p>
    <w:p>
      <w:pPr>
        <w:pStyle w:val="Default"/>
        <w:numPr>
          <w:ilvl w:val="0"/>
          <w:numId w:val="9"/>
        </w:numPr>
        <w:ind w:left="284" w:hanging="284"/>
        <w:jc w:val="both"/>
        <w:rPr>
          <w:rFonts w:ascii="Calibri" w:hAnsi="Calibri" w:cs="Tahoma"/>
          <w:sz w:val="23"/>
          <w:szCs w:val="23"/>
        </w:rPr>
      </w:pPr>
      <w:r>
        <w:rPr>
          <w:rFonts w:cs="Tahoma" w:ascii="Calibri" w:hAnsi="Calibri"/>
          <w:sz w:val="23"/>
          <w:szCs w:val="23"/>
        </w:rPr>
        <w:t xml:space="preserve">Not to be under the influence of an intoxicant to the extent that they are a danger to themselves or others, or unable to fulfil their duties; </w:t>
      </w:r>
    </w:p>
    <w:p>
      <w:pPr>
        <w:pStyle w:val="Default"/>
        <w:numPr>
          <w:ilvl w:val="0"/>
          <w:numId w:val="9"/>
        </w:numPr>
        <w:ind w:left="284" w:hanging="284"/>
        <w:jc w:val="both"/>
        <w:rPr>
          <w:rFonts w:ascii="Calibri" w:hAnsi="Calibri" w:cs="Tahoma"/>
          <w:sz w:val="23"/>
          <w:szCs w:val="23"/>
        </w:rPr>
      </w:pPr>
      <w:r>
        <w:rPr>
          <w:rFonts w:cs="Tahoma" w:ascii="Calibri" w:hAnsi="Calibri"/>
          <w:sz w:val="23"/>
          <w:szCs w:val="23"/>
        </w:rPr>
        <w:t xml:space="preserve">To report immediately on the in-house incident/accident report form any incident or accident which has caused or has the potential to cause harm or damage to any person, property or the environment of </w:t>
      </w:r>
      <w:r>
        <w:rPr/>
        <w:t xml:space="preserve">Togher Boys’ </w:t>
      </w:r>
      <w:r>
        <w:rPr>
          <w:rFonts w:cs="Tahoma" w:ascii="Calibri" w:hAnsi="Calibri"/>
          <w:sz w:val="23"/>
          <w:szCs w:val="23"/>
        </w:rPr>
        <w:t xml:space="preserve">NATIONAL SCHOOL and </w:t>
      </w:r>
    </w:p>
    <w:p>
      <w:pPr>
        <w:pStyle w:val="Default"/>
        <w:numPr>
          <w:ilvl w:val="0"/>
          <w:numId w:val="9"/>
        </w:numPr>
        <w:ind w:left="284" w:hanging="284"/>
        <w:jc w:val="both"/>
        <w:rPr>
          <w:rFonts w:ascii="Calibri" w:hAnsi="Calibri" w:cs="Tahoma"/>
          <w:sz w:val="20"/>
          <w:szCs w:val="20"/>
        </w:rPr>
      </w:pPr>
      <w:r>
        <w:rPr>
          <w:rFonts w:cs="Tahoma" w:ascii="Calibri" w:hAnsi="Calibri"/>
          <w:sz w:val="23"/>
          <w:szCs w:val="23"/>
        </w:rPr>
        <w:t xml:space="preserve">Not to misrepresent their level of training. </w:t>
      </w:r>
      <w:r>
        <w:rPr>
          <w:rFonts w:cs="Tahoma" w:ascii="Calibri" w:hAnsi="Calibri"/>
          <w:b/>
          <w:bCs/>
          <w:sz w:val="28"/>
          <w:szCs w:val="28"/>
        </w:rPr>
        <w:t xml:space="preserve"> </w:t>
      </w:r>
    </w:p>
    <w:p>
      <w:pPr>
        <w:pStyle w:val="Heading2"/>
        <w:spacing w:lineRule="auto" w:line="240"/>
        <w:rPr>
          <w:rFonts w:ascii="Calibri" w:hAnsi="Calibri"/>
        </w:rPr>
      </w:pPr>
      <w:bookmarkStart w:id="8" w:name="_Toc244923552"/>
      <w:r>
        <w:rPr>
          <w:rFonts w:ascii="Calibri" w:hAnsi="Calibri"/>
        </w:rPr>
        <w:t>3.3 Duties imposed by legislation</w:t>
      </w:r>
      <w:bookmarkEnd w:id="8"/>
      <w:r>
        <w:rPr>
          <w:rFonts w:ascii="Calibri" w:hAnsi="Calibri"/>
        </w:rPr>
        <w:t xml:space="preserve"> </w:t>
      </w:r>
    </w:p>
    <w:p>
      <w:pPr>
        <w:pStyle w:val="Heading3"/>
        <w:rPr/>
      </w:pPr>
      <w:r>
        <w:rPr/>
        <w:t>3.3.1 General Duties of School Management – The Principal</w:t>
      </w:r>
    </w:p>
    <w:p>
      <w:pPr>
        <w:pStyle w:val="Default"/>
        <w:jc w:val="both"/>
        <w:rPr>
          <w:rFonts w:ascii="Calibri" w:hAnsi="Calibri" w:cs="Tahoma"/>
          <w:sz w:val="23"/>
          <w:szCs w:val="23"/>
        </w:rPr>
      </w:pPr>
      <w:r>
        <w:rPr>
          <w:rFonts w:cs="Tahoma" w:ascii="Calibri" w:hAnsi="Calibri"/>
          <w:sz w:val="23"/>
          <w:szCs w:val="23"/>
        </w:rPr>
        <w:t xml:space="preserve">Each employee has a responsibility for his/her safety and health while at work, which extends to taking reasonable care of any other person who would be affected by his/her acts or omissions while at work.  The Principal will take all reasonable steps within his power to ensure as far as is reasonably practicable the safety, health and welfare at work of all employees within respective departments and/or those employees affected by actions taken by respective departments.   </w:t>
      </w:r>
    </w:p>
    <w:p>
      <w:pPr>
        <w:pStyle w:val="Default"/>
        <w:jc w:val="both"/>
        <w:rPr>
          <w:rFonts w:ascii="Calibri" w:hAnsi="Calibri" w:cs="Tahoma"/>
          <w:sz w:val="23"/>
          <w:szCs w:val="23"/>
        </w:rPr>
      </w:pPr>
      <w:r>
        <w:rPr>
          <w:rFonts w:cs="Tahoma" w:ascii="Calibri" w:hAnsi="Calibri"/>
          <w:sz w:val="23"/>
          <w:szCs w:val="23"/>
        </w:rPr>
      </w:r>
    </w:p>
    <w:p>
      <w:pPr>
        <w:pStyle w:val="Default"/>
        <w:jc w:val="both"/>
        <w:rPr>
          <w:rFonts w:ascii="Calibri" w:hAnsi="Calibri" w:cs="Tahoma"/>
          <w:b/>
          <w:b/>
          <w:sz w:val="22"/>
          <w:szCs w:val="22"/>
        </w:rPr>
      </w:pPr>
      <w:r>
        <w:rPr>
          <w:rFonts w:cs="Tahoma" w:ascii="Calibri" w:hAnsi="Calibri"/>
          <w:b/>
          <w:sz w:val="22"/>
          <w:szCs w:val="22"/>
        </w:rPr>
        <w:t xml:space="preserve">The </w:t>
      </w:r>
      <w:r>
        <w:rPr>
          <w:rFonts w:ascii="Calibri" w:hAnsi="Calibri"/>
          <w:b/>
          <w:sz w:val="22"/>
          <w:szCs w:val="22"/>
        </w:rPr>
        <w:t>General Duties of School Management – The Principal</w:t>
      </w:r>
      <w:r>
        <w:rPr>
          <w:rFonts w:cs="Tahoma" w:ascii="Calibri" w:hAnsi="Calibri"/>
          <w:b/>
          <w:sz w:val="22"/>
          <w:szCs w:val="22"/>
        </w:rPr>
        <w:t xml:space="preserve"> are as follows: </w:t>
      </w:r>
    </w:p>
    <w:p>
      <w:pPr>
        <w:pStyle w:val="Default"/>
        <w:jc w:val="both"/>
        <w:rPr>
          <w:rFonts w:ascii="Calibri" w:hAnsi="Calibri" w:cs="Tahoma"/>
          <w:sz w:val="23"/>
          <w:szCs w:val="23"/>
        </w:rPr>
      </w:pPr>
      <w:r>
        <w:rPr>
          <w:rFonts w:cs="Tahoma" w:ascii="Calibri" w:hAnsi="Calibri"/>
          <w:sz w:val="23"/>
          <w:szCs w:val="23"/>
        </w:rPr>
      </w:r>
    </w:p>
    <w:p>
      <w:pPr>
        <w:pStyle w:val="Default"/>
        <w:numPr>
          <w:ilvl w:val="0"/>
          <w:numId w:val="43"/>
        </w:numPr>
        <w:ind w:left="426" w:hanging="426"/>
        <w:jc w:val="both"/>
        <w:rPr>
          <w:rFonts w:ascii="Calibri" w:hAnsi="Calibri" w:cs="Tahoma"/>
          <w:sz w:val="23"/>
          <w:szCs w:val="23"/>
        </w:rPr>
      </w:pPr>
      <w:r>
        <w:rPr>
          <w:rFonts w:cs="Tahoma" w:ascii="Calibri" w:hAnsi="Calibri"/>
          <w:sz w:val="23"/>
          <w:szCs w:val="23"/>
        </w:rPr>
        <w:t xml:space="preserve">Attending annual health and safety training for management. </w:t>
      </w:r>
    </w:p>
    <w:p>
      <w:pPr>
        <w:pStyle w:val="Default"/>
        <w:numPr>
          <w:ilvl w:val="0"/>
          <w:numId w:val="43"/>
        </w:numPr>
        <w:ind w:left="426" w:hanging="426"/>
        <w:jc w:val="both"/>
        <w:rPr>
          <w:rFonts w:ascii="Calibri" w:hAnsi="Calibri" w:cs="Tahoma"/>
          <w:sz w:val="23"/>
          <w:szCs w:val="23"/>
        </w:rPr>
      </w:pPr>
      <w:r>
        <w:rPr>
          <w:rFonts w:cs="Tahoma" w:ascii="Calibri" w:hAnsi="Calibri"/>
          <w:sz w:val="23"/>
          <w:szCs w:val="23"/>
        </w:rPr>
        <w:t xml:space="preserve">Co-operating with the Health and Safety Programme to manage safety, health and welfare within their section. </w:t>
      </w:r>
    </w:p>
    <w:p>
      <w:pPr>
        <w:pStyle w:val="Default"/>
        <w:numPr>
          <w:ilvl w:val="0"/>
          <w:numId w:val="43"/>
        </w:numPr>
        <w:ind w:left="426" w:hanging="426"/>
        <w:jc w:val="both"/>
        <w:rPr>
          <w:rFonts w:ascii="Calibri" w:hAnsi="Calibri" w:cs="Tahoma"/>
          <w:sz w:val="23"/>
          <w:szCs w:val="23"/>
        </w:rPr>
      </w:pPr>
      <w:r>
        <w:rPr>
          <w:rFonts w:cs="Tahoma" w:ascii="Calibri" w:hAnsi="Calibri"/>
          <w:sz w:val="23"/>
          <w:szCs w:val="23"/>
        </w:rPr>
        <w:t xml:space="preserve">Carrying out the School Health and Safety Audit Programme specific to respective areas effectively. </w:t>
      </w:r>
    </w:p>
    <w:p>
      <w:pPr>
        <w:pStyle w:val="Default"/>
        <w:numPr>
          <w:ilvl w:val="0"/>
          <w:numId w:val="43"/>
        </w:numPr>
        <w:ind w:left="426" w:hanging="426"/>
        <w:jc w:val="both"/>
        <w:rPr>
          <w:rFonts w:ascii="Calibri" w:hAnsi="Calibri" w:cs="Tahoma"/>
          <w:sz w:val="23"/>
          <w:szCs w:val="23"/>
        </w:rPr>
      </w:pPr>
      <w:r>
        <w:rPr>
          <w:rFonts w:cs="Tahoma" w:ascii="Calibri" w:hAnsi="Calibri"/>
          <w:sz w:val="23"/>
          <w:szCs w:val="23"/>
        </w:rPr>
        <w:t xml:space="preserve">Ensuring that all persons under his control are fully instructed on Emergency Procedures including employees and contractors carrying out works. </w:t>
      </w:r>
    </w:p>
    <w:p>
      <w:pPr>
        <w:pStyle w:val="Default"/>
        <w:numPr>
          <w:ilvl w:val="0"/>
          <w:numId w:val="43"/>
        </w:numPr>
        <w:ind w:left="426" w:hanging="426"/>
        <w:jc w:val="both"/>
        <w:rPr>
          <w:rFonts w:ascii="Calibri" w:hAnsi="Calibri" w:cs="Tahoma"/>
          <w:sz w:val="23"/>
          <w:szCs w:val="23"/>
        </w:rPr>
      </w:pPr>
      <w:r>
        <w:rPr>
          <w:rFonts w:cs="Tahoma" w:ascii="Calibri" w:hAnsi="Calibri"/>
          <w:sz w:val="23"/>
          <w:szCs w:val="23"/>
        </w:rPr>
        <w:t xml:space="preserve">Manage contractor(s) onsite following the School Contractor Safety Guidelines. </w:t>
      </w:r>
    </w:p>
    <w:p>
      <w:pPr>
        <w:pStyle w:val="Default"/>
        <w:numPr>
          <w:ilvl w:val="0"/>
          <w:numId w:val="43"/>
        </w:numPr>
        <w:ind w:left="426" w:hanging="426"/>
        <w:jc w:val="both"/>
        <w:rPr>
          <w:rFonts w:ascii="Calibri" w:hAnsi="Calibri" w:cs="Tahoma"/>
          <w:sz w:val="23"/>
          <w:szCs w:val="23"/>
        </w:rPr>
      </w:pPr>
      <w:r>
        <w:rPr>
          <w:rFonts w:cs="Tahoma" w:ascii="Calibri" w:hAnsi="Calibri"/>
          <w:sz w:val="23"/>
          <w:szCs w:val="23"/>
        </w:rPr>
        <w:t xml:space="preserve">Ensure that all persons under his/her control have received appropriate training in the work to be carried out and are fully aware of all hazards in the place of work. </w:t>
      </w:r>
    </w:p>
    <w:p>
      <w:pPr>
        <w:pStyle w:val="Default"/>
        <w:numPr>
          <w:ilvl w:val="0"/>
          <w:numId w:val="43"/>
        </w:numPr>
        <w:ind w:left="426" w:hanging="426"/>
        <w:jc w:val="both"/>
        <w:rPr>
          <w:rFonts w:ascii="Calibri" w:hAnsi="Calibri" w:cs="Tahoma"/>
          <w:sz w:val="23"/>
          <w:szCs w:val="23"/>
        </w:rPr>
      </w:pPr>
      <w:r>
        <w:rPr>
          <w:rFonts w:cs="Tahoma" w:ascii="Calibri" w:hAnsi="Calibri"/>
          <w:sz w:val="23"/>
          <w:szCs w:val="23"/>
        </w:rPr>
        <w:t xml:space="preserve">Make available for health and safety training all staff members where necessary. Mandatory safety, health and welfare training includes Induction (For new and refresher training for existing staff) Fire, Manual handling, Waste management (Green Flag), First aid, Security, Occupational Welfare, Infection Control or specialist other as identified. </w:t>
      </w:r>
    </w:p>
    <w:p>
      <w:pPr>
        <w:pStyle w:val="Default"/>
        <w:numPr>
          <w:ilvl w:val="0"/>
          <w:numId w:val="43"/>
        </w:numPr>
        <w:ind w:left="426" w:hanging="426"/>
        <w:jc w:val="both"/>
        <w:rPr>
          <w:rFonts w:ascii="Calibri" w:hAnsi="Calibri" w:cs="Tahoma"/>
          <w:sz w:val="23"/>
          <w:szCs w:val="23"/>
        </w:rPr>
      </w:pPr>
      <w:r>
        <w:rPr>
          <w:rFonts w:cs="Tahoma" w:ascii="Calibri" w:hAnsi="Calibri"/>
          <w:sz w:val="23"/>
          <w:szCs w:val="23"/>
        </w:rPr>
        <w:t xml:space="preserve">Arrange for supervision and instruction of staff in relation to safety issues. </w:t>
      </w:r>
    </w:p>
    <w:p>
      <w:pPr>
        <w:pStyle w:val="Default"/>
        <w:numPr>
          <w:ilvl w:val="0"/>
          <w:numId w:val="43"/>
        </w:numPr>
        <w:ind w:left="426" w:hanging="426"/>
        <w:jc w:val="both"/>
        <w:rPr>
          <w:rFonts w:ascii="Calibri" w:hAnsi="Calibri" w:cs="Tahoma"/>
          <w:sz w:val="23"/>
          <w:szCs w:val="23"/>
        </w:rPr>
      </w:pPr>
      <w:r>
        <w:rPr>
          <w:rFonts w:cs="Tahoma" w:ascii="Calibri" w:hAnsi="Calibri"/>
          <w:sz w:val="23"/>
          <w:szCs w:val="23"/>
        </w:rPr>
        <w:t xml:space="preserve">Allow appropriate employees sufficient time off work to attend health and safety courses; works permitting. </w:t>
      </w:r>
    </w:p>
    <w:p>
      <w:pPr>
        <w:pStyle w:val="Default"/>
        <w:numPr>
          <w:ilvl w:val="0"/>
          <w:numId w:val="43"/>
        </w:numPr>
        <w:ind w:left="426" w:hanging="426"/>
        <w:jc w:val="both"/>
        <w:rPr>
          <w:rFonts w:ascii="Calibri" w:hAnsi="Calibri" w:cs="Tahoma"/>
          <w:sz w:val="20"/>
          <w:szCs w:val="20"/>
        </w:rPr>
      </w:pPr>
      <w:r>
        <w:rPr>
          <w:rFonts w:cs="Tahoma" w:ascii="Calibri" w:hAnsi="Calibri"/>
          <w:sz w:val="23"/>
          <w:szCs w:val="23"/>
        </w:rPr>
        <w:t xml:space="preserve">Consult with specialist departments, either internal or external (Infection Control Officer, Health and Safety Officer, Occupational Health or other) to ensure all safety procedures are observed and that personal protective clothing (PPE) and/or equipment are available and used when required by staff within respective departments. </w:t>
      </w:r>
    </w:p>
    <w:p>
      <w:pPr>
        <w:pStyle w:val="Default"/>
        <w:numPr>
          <w:ilvl w:val="0"/>
          <w:numId w:val="43"/>
        </w:numPr>
        <w:tabs>
          <w:tab w:val="left" w:pos="0" w:leader="none"/>
        </w:tabs>
        <w:ind w:left="426" w:hanging="426"/>
        <w:jc w:val="both"/>
        <w:rPr>
          <w:rFonts w:ascii="Calibri" w:hAnsi="Calibri" w:cs="Tahoma"/>
          <w:sz w:val="23"/>
          <w:szCs w:val="23"/>
        </w:rPr>
      </w:pPr>
      <w:r>
        <w:rPr>
          <w:rFonts w:cs="Tahoma" w:ascii="Calibri" w:hAnsi="Calibri"/>
          <w:sz w:val="23"/>
          <w:szCs w:val="23"/>
        </w:rPr>
        <w:t xml:space="preserve">To report </w:t>
      </w:r>
      <w:r>
        <w:rPr>
          <w:rFonts w:cs="Tahoma" w:ascii="Calibri" w:hAnsi="Calibri"/>
          <w:bCs/>
          <w:sz w:val="23"/>
          <w:szCs w:val="23"/>
        </w:rPr>
        <w:t>all</w:t>
      </w:r>
      <w:r>
        <w:rPr>
          <w:rFonts w:cs="Tahoma" w:ascii="Calibri" w:hAnsi="Calibri"/>
          <w:b/>
          <w:bCs/>
          <w:sz w:val="23"/>
          <w:szCs w:val="23"/>
        </w:rPr>
        <w:t xml:space="preserve"> </w:t>
      </w:r>
      <w:r>
        <w:rPr>
          <w:rFonts w:cs="Tahoma" w:ascii="Calibri" w:hAnsi="Calibri"/>
          <w:sz w:val="23"/>
          <w:szCs w:val="23"/>
        </w:rPr>
        <w:t xml:space="preserve">accidents or dangerous occurrences immediately on the in-house accident/incident report form. For Fire Safety issues the same procedure must be followed and must be notified immediately. </w:t>
      </w:r>
    </w:p>
    <w:p>
      <w:pPr>
        <w:pStyle w:val="Default"/>
        <w:numPr>
          <w:ilvl w:val="0"/>
          <w:numId w:val="43"/>
        </w:numPr>
        <w:ind w:left="426" w:hanging="426"/>
        <w:jc w:val="both"/>
        <w:rPr>
          <w:rFonts w:ascii="Calibri" w:hAnsi="Calibri" w:cs="Tahoma"/>
          <w:sz w:val="23"/>
          <w:szCs w:val="23"/>
        </w:rPr>
      </w:pPr>
      <w:r>
        <w:rPr>
          <w:rFonts w:cs="Tahoma" w:ascii="Calibri" w:hAnsi="Calibri"/>
          <w:sz w:val="23"/>
          <w:szCs w:val="23"/>
        </w:rPr>
        <w:t xml:space="preserve">To maintain good management practices in his/her department at all times and to ensure hazards are kept to a minimum. </w:t>
      </w:r>
    </w:p>
    <w:p>
      <w:pPr>
        <w:pStyle w:val="Default"/>
        <w:numPr>
          <w:ilvl w:val="0"/>
          <w:numId w:val="43"/>
        </w:numPr>
        <w:ind w:left="426" w:hanging="426"/>
        <w:jc w:val="both"/>
        <w:rPr>
          <w:rFonts w:ascii="Calibri" w:hAnsi="Calibri" w:cs="Tahoma"/>
          <w:sz w:val="23"/>
          <w:szCs w:val="23"/>
        </w:rPr>
      </w:pPr>
      <w:r>
        <w:rPr>
          <w:rFonts w:cs="Tahoma" w:ascii="Calibri" w:hAnsi="Calibri"/>
          <w:sz w:val="23"/>
          <w:szCs w:val="23"/>
        </w:rPr>
        <w:t xml:space="preserve">Review all Health and Safety Guidelines, Policies and Procedures and comply with these. </w:t>
      </w:r>
    </w:p>
    <w:p>
      <w:pPr>
        <w:pStyle w:val="Default"/>
        <w:numPr>
          <w:ilvl w:val="0"/>
          <w:numId w:val="43"/>
        </w:numPr>
        <w:ind w:left="426" w:hanging="426"/>
        <w:jc w:val="both"/>
        <w:rPr>
          <w:rFonts w:ascii="Calibri" w:hAnsi="Calibri" w:cs="Tahoma"/>
          <w:sz w:val="23"/>
          <w:szCs w:val="23"/>
        </w:rPr>
      </w:pPr>
      <w:r>
        <w:rPr>
          <w:rFonts w:cs="Tahoma" w:ascii="Calibri" w:hAnsi="Calibri"/>
          <w:sz w:val="23"/>
          <w:szCs w:val="23"/>
        </w:rPr>
        <w:t xml:space="preserve">Ensure delegated persons (Fire Wardens) under respective manager’s responsibility carry out their assigned duties as per their training. </w:t>
      </w:r>
    </w:p>
    <w:p>
      <w:pPr>
        <w:pStyle w:val="Default"/>
        <w:numPr>
          <w:ilvl w:val="0"/>
          <w:numId w:val="43"/>
        </w:numPr>
        <w:ind w:left="426" w:hanging="426"/>
        <w:jc w:val="both"/>
        <w:rPr>
          <w:rFonts w:ascii="Calibri" w:hAnsi="Calibri" w:cs="Tahoma"/>
          <w:sz w:val="23"/>
          <w:szCs w:val="23"/>
        </w:rPr>
      </w:pPr>
      <w:r>
        <w:rPr>
          <w:rFonts w:cs="Tahoma" w:ascii="Calibri" w:hAnsi="Calibri"/>
          <w:sz w:val="23"/>
          <w:szCs w:val="23"/>
        </w:rPr>
        <w:t xml:space="preserve">Communicate precautions/controls to employees. </w:t>
      </w:r>
    </w:p>
    <w:p>
      <w:pPr>
        <w:pStyle w:val="Default"/>
        <w:numPr>
          <w:ilvl w:val="0"/>
          <w:numId w:val="43"/>
        </w:numPr>
        <w:ind w:left="426" w:hanging="426"/>
        <w:jc w:val="both"/>
        <w:rPr>
          <w:rFonts w:ascii="Calibri" w:hAnsi="Calibri" w:cs="Tahoma"/>
          <w:sz w:val="23"/>
          <w:szCs w:val="23"/>
        </w:rPr>
      </w:pPr>
      <w:r>
        <w:rPr>
          <w:rFonts w:cs="Tahoma" w:ascii="Calibri" w:hAnsi="Calibri"/>
          <w:sz w:val="23"/>
          <w:szCs w:val="23"/>
        </w:rPr>
        <w:t xml:space="preserve">Ensure that when necessary, corrective action is taken without delay. </w:t>
      </w:r>
    </w:p>
    <w:p>
      <w:pPr>
        <w:pStyle w:val="Default"/>
        <w:rPr>
          <w:rFonts w:ascii="Calibri" w:hAnsi="Calibri" w:cs="Tahoma"/>
          <w:sz w:val="23"/>
          <w:szCs w:val="23"/>
        </w:rPr>
      </w:pPr>
      <w:r>
        <w:rPr>
          <w:rFonts w:cs="Tahoma" w:ascii="Calibri" w:hAnsi="Calibri"/>
          <w:sz w:val="23"/>
          <w:szCs w:val="23"/>
        </w:rPr>
      </w:r>
    </w:p>
    <w:p>
      <w:pPr>
        <w:pStyle w:val="Heading3"/>
        <w:rPr/>
      </w:pPr>
      <w:r>
        <w:rPr/>
        <w:t xml:space="preserve">3.3.2. General Duties of Teachers </w:t>
      </w:r>
    </w:p>
    <w:p>
      <w:pPr>
        <w:pStyle w:val="Default"/>
        <w:jc w:val="both"/>
        <w:rPr>
          <w:rFonts w:ascii="Calibri" w:hAnsi="Calibri" w:cs="Tahoma"/>
          <w:sz w:val="23"/>
          <w:szCs w:val="23"/>
        </w:rPr>
      </w:pPr>
      <w:r>
        <w:rPr>
          <w:rFonts w:cs="Tahoma" w:ascii="Calibri" w:hAnsi="Calibri"/>
          <w:sz w:val="23"/>
          <w:szCs w:val="23"/>
        </w:rPr>
        <w:t xml:space="preserve">Teachers are responsible for the implementation of the School Health and Safety Policy in their area by: </w:t>
      </w:r>
    </w:p>
    <w:p>
      <w:pPr>
        <w:pStyle w:val="Default"/>
        <w:jc w:val="both"/>
        <w:rPr>
          <w:rFonts w:ascii="Calibri" w:hAnsi="Calibri" w:cs="Tahoma"/>
          <w:sz w:val="23"/>
          <w:szCs w:val="23"/>
        </w:rPr>
      </w:pPr>
      <w:r>
        <w:rPr>
          <w:rFonts w:cs="Tahoma" w:ascii="Calibri" w:hAnsi="Calibri"/>
          <w:sz w:val="23"/>
          <w:szCs w:val="23"/>
        </w:rPr>
      </w:r>
    </w:p>
    <w:p>
      <w:pPr>
        <w:pStyle w:val="Default"/>
        <w:numPr>
          <w:ilvl w:val="0"/>
          <w:numId w:val="10"/>
        </w:numPr>
        <w:ind w:left="284" w:hanging="284"/>
        <w:jc w:val="both"/>
        <w:rPr>
          <w:rFonts w:ascii="Calibri" w:hAnsi="Calibri" w:cs="Tahoma"/>
          <w:sz w:val="23"/>
          <w:szCs w:val="23"/>
        </w:rPr>
      </w:pPr>
      <w:r>
        <w:rPr>
          <w:rFonts w:cs="Tahoma" w:ascii="Calibri" w:hAnsi="Calibri"/>
          <w:sz w:val="23"/>
          <w:szCs w:val="23"/>
        </w:rPr>
        <w:t xml:space="preserve">Ensuring that the area is a safe and acceptable place to work, as far as is reasonably practicable; </w:t>
      </w:r>
    </w:p>
    <w:p>
      <w:pPr>
        <w:pStyle w:val="Default"/>
        <w:numPr>
          <w:ilvl w:val="0"/>
          <w:numId w:val="10"/>
        </w:numPr>
        <w:ind w:left="284" w:hanging="284"/>
        <w:jc w:val="both"/>
        <w:rPr>
          <w:rFonts w:ascii="Calibri" w:hAnsi="Calibri" w:cs="Tahoma"/>
          <w:sz w:val="23"/>
          <w:szCs w:val="23"/>
        </w:rPr>
      </w:pPr>
      <w:r>
        <w:rPr>
          <w:rFonts w:cs="Tahoma" w:ascii="Calibri" w:hAnsi="Calibri"/>
          <w:sz w:val="23"/>
          <w:szCs w:val="23"/>
        </w:rPr>
        <w:t xml:space="preserve">Lead by example through personal behaviour the highest standards of safety and by attending training; </w:t>
      </w:r>
    </w:p>
    <w:p>
      <w:pPr>
        <w:pStyle w:val="Default"/>
        <w:numPr>
          <w:ilvl w:val="0"/>
          <w:numId w:val="10"/>
        </w:numPr>
        <w:ind w:left="284" w:hanging="284"/>
        <w:jc w:val="both"/>
        <w:rPr>
          <w:rFonts w:ascii="Calibri" w:hAnsi="Calibri" w:cs="Tahoma"/>
          <w:sz w:val="23"/>
          <w:szCs w:val="23"/>
        </w:rPr>
      </w:pPr>
      <w:r>
        <w:rPr>
          <w:rFonts w:cs="Tahoma" w:ascii="Calibri" w:hAnsi="Calibri"/>
          <w:sz w:val="23"/>
          <w:szCs w:val="23"/>
        </w:rPr>
        <w:t>Ensure that staff are trained, supervised and held accountable for their performance in relation to safety and health</w:t>
      </w:r>
      <w:r>
        <w:rPr>
          <w:rFonts w:cs="Tahoma" w:ascii="Calibri" w:hAnsi="Calibri"/>
          <w:i/>
          <w:iCs/>
          <w:sz w:val="23"/>
          <w:szCs w:val="23"/>
        </w:rPr>
        <w:t xml:space="preserve">; </w:t>
      </w:r>
    </w:p>
    <w:p>
      <w:pPr>
        <w:pStyle w:val="Default"/>
        <w:numPr>
          <w:ilvl w:val="0"/>
          <w:numId w:val="10"/>
        </w:numPr>
        <w:ind w:left="284" w:hanging="284"/>
        <w:jc w:val="both"/>
        <w:rPr>
          <w:rFonts w:ascii="Calibri" w:hAnsi="Calibri" w:cs="Tahoma"/>
          <w:sz w:val="23"/>
          <w:szCs w:val="23"/>
        </w:rPr>
      </w:pPr>
      <w:r>
        <w:rPr>
          <w:rFonts w:cs="Tahoma" w:ascii="Calibri" w:hAnsi="Calibri"/>
          <w:sz w:val="23"/>
          <w:szCs w:val="23"/>
        </w:rPr>
        <w:t xml:space="preserve">Comply with developed safe work practices to ensure the safety, health and welfare of all staff in the department; </w:t>
      </w:r>
    </w:p>
    <w:p>
      <w:pPr>
        <w:pStyle w:val="Default"/>
        <w:numPr>
          <w:ilvl w:val="0"/>
          <w:numId w:val="10"/>
        </w:numPr>
        <w:ind w:left="284" w:hanging="284"/>
        <w:jc w:val="both"/>
        <w:rPr>
          <w:rFonts w:ascii="Calibri" w:hAnsi="Calibri" w:cs="Tahoma"/>
          <w:sz w:val="23"/>
          <w:szCs w:val="23"/>
        </w:rPr>
      </w:pPr>
      <w:r>
        <w:rPr>
          <w:rFonts w:cs="Tahoma" w:ascii="Calibri" w:hAnsi="Calibri"/>
          <w:sz w:val="23"/>
          <w:szCs w:val="23"/>
        </w:rPr>
        <w:t>Develop Risk Assessments for their areas (in association with the Safety Officer);</w:t>
      </w:r>
    </w:p>
    <w:p>
      <w:pPr>
        <w:pStyle w:val="Default"/>
        <w:numPr>
          <w:ilvl w:val="0"/>
          <w:numId w:val="10"/>
        </w:numPr>
        <w:ind w:left="284" w:hanging="284"/>
        <w:jc w:val="both"/>
        <w:rPr>
          <w:rFonts w:ascii="Calibri" w:hAnsi="Calibri" w:cs="Tahoma"/>
          <w:sz w:val="23"/>
          <w:szCs w:val="23"/>
        </w:rPr>
      </w:pPr>
      <w:r>
        <w:rPr>
          <w:rFonts w:cs="Tahoma" w:ascii="Calibri" w:hAnsi="Calibri"/>
          <w:sz w:val="23"/>
          <w:szCs w:val="23"/>
        </w:rPr>
        <w:t>Ensure that safety standards laid down in the safety statement along with standard operating procedures and safe work practices are adhered to, by ensuring corrective actions are taken as necessary and training records maintained and</w:t>
      </w:r>
    </w:p>
    <w:p>
      <w:pPr>
        <w:pStyle w:val="Default"/>
        <w:numPr>
          <w:ilvl w:val="0"/>
          <w:numId w:val="10"/>
        </w:numPr>
        <w:ind w:left="284" w:hanging="284"/>
        <w:jc w:val="both"/>
        <w:rPr>
          <w:rFonts w:ascii="Calibri" w:hAnsi="Calibri" w:cs="Tahoma"/>
          <w:sz w:val="23"/>
          <w:szCs w:val="23"/>
        </w:rPr>
      </w:pPr>
      <w:r>
        <w:rPr>
          <w:rFonts w:cs="Tahoma" w:ascii="Calibri" w:hAnsi="Calibri"/>
          <w:sz w:val="23"/>
          <w:szCs w:val="23"/>
        </w:rPr>
        <w:t>Ensure through the Principal and the BOM that employees new to the Department receive appropriate information, instruction and training in safety and health policies and procedures.</w:t>
      </w:r>
    </w:p>
    <w:p>
      <w:pPr>
        <w:pStyle w:val="Default"/>
        <w:rPr>
          <w:rFonts w:ascii="Calibri" w:hAnsi="Calibri" w:cs="Tahoma"/>
          <w:sz w:val="23"/>
          <w:szCs w:val="23"/>
        </w:rPr>
      </w:pPr>
      <w:r>
        <w:rPr>
          <w:rFonts w:cs="Tahoma" w:ascii="Calibri" w:hAnsi="Calibri"/>
          <w:sz w:val="23"/>
          <w:szCs w:val="23"/>
        </w:rPr>
      </w:r>
    </w:p>
    <w:p>
      <w:pPr>
        <w:pStyle w:val="Heading3"/>
        <w:rPr/>
      </w:pPr>
      <w:r>
        <w:rPr/>
        <w:t>3.3.3. Duties of the Health and Safety Officer/Advisor</w:t>
      </w:r>
    </w:p>
    <w:p>
      <w:pPr>
        <w:pStyle w:val="Normal"/>
        <w:rPr/>
      </w:pPr>
      <w:r>
        <w:rPr/>
        <w:t xml:space="preserve">It is the duty of the Health and Safety Officer/Advisor to: </w:t>
      </w:r>
    </w:p>
    <w:p>
      <w:pPr>
        <w:pStyle w:val="Default"/>
        <w:numPr>
          <w:ilvl w:val="0"/>
          <w:numId w:val="11"/>
        </w:numPr>
        <w:tabs>
          <w:tab w:val="left" w:pos="426" w:leader="none"/>
        </w:tabs>
        <w:ind w:left="426" w:hanging="426"/>
        <w:jc w:val="both"/>
        <w:rPr>
          <w:rFonts w:ascii="Calibri" w:hAnsi="Calibri" w:cs="Tahoma"/>
          <w:sz w:val="23"/>
          <w:szCs w:val="23"/>
        </w:rPr>
      </w:pPr>
      <w:r>
        <w:rPr>
          <w:rFonts w:cs="Tahoma" w:ascii="Calibri" w:hAnsi="Calibri"/>
          <w:sz w:val="23"/>
          <w:szCs w:val="23"/>
        </w:rPr>
        <w:t>Report directly to the Chairperson of the BOM and the Principal all employee welfare, health and safety issues;</w:t>
      </w:r>
    </w:p>
    <w:p>
      <w:pPr>
        <w:pStyle w:val="Default"/>
        <w:numPr>
          <w:ilvl w:val="0"/>
          <w:numId w:val="11"/>
        </w:numPr>
        <w:tabs>
          <w:tab w:val="left" w:pos="426" w:leader="none"/>
        </w:tabs>
        <w:ind w:left="426" w:hanging="426"/>
        <w:jc w:val="both"/>
        <w:rPr>
          <w:rFonts w:ascii="Calibri" w:hAnsi="Calibri" w:cs="Tahoma"/>
          <w:sz w:val="23"/>
          <w:szCs w:val="23"/>
        </w:rPr>
      </w:pPr>
      <w:r>
        <w:rPr>
          <w:rFonts w:cs="Tahoma" w:ascii="Calibri" w:hAnsi="Calibri"/>
          <w:sz w:val="23"/>
          <w:szCs w:val="23"/>
        </w:rPr>
        <w:t xml:space="preserve">Advise on all matters relating to safety, health and welfare which relate to the School; </w:t>
      </w:r>
    </w:p>
    <w:p>
      <w:pPr>
        <w:pStyle w:val="Default"/>
        <w:numPr>
          <w:ilvl w:val="0"/>
          <w:numId w:val="11"/>
        </w:numPr>
        <w:tabs>
          <w:tab w:val="left" w:pos="426" w:leader="none"/>
        </w:tabs>
        <w:ind w:left="426" w:hanging="426"/>
        <w:jc w:val="both"/>
        <w:rPr>
          <w:rFonts w:ascii="Calibri" w:hAnsi="Calibri" w:cs="Tahoma"/>
          <w:sz w:val="23"/>
          <w:szCs w:val="23"/>
        </w:rPr>
      </w:pPr>
      <w:r>
        <w:rPr>
          <w:rFonts w:cs="Tahoma" w:ascii="Calibri" w:hAnsi="Calibri"/>
          <w:sz w:val="23"/>
          <w:szCs w:val="23"/>
        </w:rPr>
        <w:t xml:space="preserve">Investigate and follow up on accidents and dangerous occurrences in the School; </w:t>
      </w:r>
    </w:p>
    <w:p>
      <w:pPr>
        <w:pStyle w:val="Default"/>
        <w:numPr>
          <w:ilvl w:val="0"/>
          <w:numId w:val="11"/>
        </w:numPr>
        <w:tabs>
          <w:tab w:val="left" w:pos="426" w:leader="none"/>
        </w:tabs>
        <w:ind w:left="426" w:hanging="426"/>
        <w:jc w:val="both"/>
        <w:rPr>
          <w:rFonts w:ascii="Calibri" w:hAnsi="Calibri" w:cs="Tahoma"/>
          <w:sz w:val="23"/>
          <w:szCs w:val="23"/>
        </w:rPr>
      </w:pPr>
      <w:r>
        <w:rPr>
          <w:rFonts w:cs="Tahoma" w:ascii="Calibri" w:hAnsi="Calibri"/>
          <w:sz w:val="23"/>
          <w:szCs w:val="23"/>
        </w:rPr>
        <w:t xml:space="preserve">Assist management in ensuring the health and safety of employees and the protection of students, contractors and visitors against accidental injury or loss; </w:t>
      </w:r>
    </w:p>
    <w:p>
      <w:pPr>
        <w:pStyle w:val="Default"/>
        <w:numPr>
          <w:ilvl w:val="0"/>
          <w:numId w:val="11"/>
        </w:numPr>
        <w:tabs>
          <w:tab w:val="left" w:pos="426" w:leader="none"/>
        </w:tabs>
        <w:ind w:left="426" w:hanging="426"/>
        <w:jc w:val="both"/>
        <w:rPr>
          <w:rFonts w:ascii="Calibri" w:hAnsi="Calibri" w:cs="Tahoma"/>
          <w:sz w:val="23"/>
          <w:szCs w:val="23"/>
        </w:rPr>
      </w:pPr>
      <w:r>
        <w:rPr>
          <w:rFonts w:cs="Tahoma" w:ascii="Calibri" w:hAnsi="Calibri"/>
          <w:sz w:val="23"/>
          <w:szCs w:val="23"/>
        </w:rPr>
        <w:t xml:space="preserve">Liaise with the safety  representatives; safety committees, Occupational Health or others and manage the protection from and prevention of occupational risk and accidental loss to the School; </w:t>
      </w:r>
    </w:p>
    <w:p>
      <w:pPr>
        <w:pStyle w:val="Default"/>
        <w:numPr>
          <w:ilvl w:val="0"/>
          <w:numId w:val="11"/>
        </w:numPr>
        <w:tabs>
          <w:tab w:val="left" w:pos="426" w:leader="none"/>
        </w:tabs>
        <w:ind w:left="426" w:hanging="426"/>
        <w:jc w:val="both"/>
        <w:rPr>
          <w:rFonts w:ascii="Calibri" w:hAnsi="Calibri" w:cs="Tahoma"/>
          <w:sz w:val="23"/>
          <w:szCs w:val="23"/>
        </w:rPr>
      </w:pPr>
      <w:r>
        <w:rPr>
          <w:rFonts w:cs="Tahoma" w:ascii="Calibri" w:hAnsi="Calibri"/>
          <w:sz w:val="23"/>
          <w:szCs w:val="23"/>
        </w:rPr>
        <w:t xml:space="preserve">Organise, co-ordinate and where appropriate deliver training to staff and management within the field of health and safety; </w:t>
      </w:r>
    </w:p>
    <w:p>
      <w:pPr>
        <w:pStyle w:val="Default"/>
        <w:numPr>
          <w:ilvl w:val="0"/>
          <w:numId w:val="11"/>
        </w:numPr>
        <w:tabs>
          <w:tab w:val="left" w:pos="426" w:leader="none"/>
        </w:tabs>
        <w:ind w:left="426" w:hanging="426"/>
        <w:jc w:val="both"/>
        <w:rPr>
          <w:rFonts w:ascii="Calibri" w:hAnsi="Calibri" w:cs="Tahoma"/>
          <w:sz w:val="23"/>
          <w:szCs w:val="23"/>
        </w:rPr>
      </w:pPr>
      <w:r>
        <w:rPr>
          <w:rFonts w:cs="Tahoma" w:ascii="Calibri" w:hAnsi="Calibri"/>
          <w:sz w:val="23"/>
          <w:szCs w:val="23"/>
        </w:rPr>
        <w:t>Develop the School’s safety statement on an annual basis or periodically where necessary (in conjunction with the safety committee) ;</w:t>
      </w:r>
    </w:p>
    <w:p>
      <w:pPr>
        <w:pStyle w:val="Default"/>
        <w:numPr>
          <w:ilvl w:val="0"/>
          <w:numId w:val="11"/>
        </w:numPr>
        <w:tabs>
          <w:tab w:val="left" w:pos="426" w:leader="none"/>
        </w:tabs>
        <w:ind w:left="426" w:hanging="426"/>
        <w:jc w:val="both"/>
        <w:rPr>
          <w:rFonts w:ascii="Calibri" w:hAnsi="Calibri" w:cs="Tahoma"/>
          <w:sz w:val="23"/>
          <w:szCs w:val="23"/>
        </w:rPr>
      </w:pPr>
      <w:r>
        <w:rPr>
          <w:rFonts w:cs="Tahoma" w:ascii="Calibri" w:hAnsi="Calibri"/>
          <w:sz w:val="23"/>
          <w:szCs w:val="23"/>
        </w:rPr>
        <w:t xml:space="preserve">Develop health and safety audit systems; </w:t>
      </w:r>
    </w:p>
    <w:p>
      <w:pPr>
        <w:pStyle w:val="Default"/>
        <w:numPr>
          <w:ilvl w:val="0"/>
          <w:numId w:val="11"/>
        </w:numPr>
        <w:tabs>
          <w:tab w:val="left" w:pos="426" w:leader="none"/>
        </w:tabs>
        <w:ind w:left="426" w:hanging="426"/>
        <w:jc w:val="both"/>
        <w:rPr>
          <w:rFonts w:ascii="Calibri" w:hAnsi="Calibri" w:cs="Tahoma"/>
          <w:sz w:val="23"/>
          <w:szCs w:val="23"/>
        </w:rPr>
      </w:pPr>
      <w:r>
        <w:rPr>
          <w:rFonts w:cs="Tahoma" w:ascii="Calibri" w:hAnsi="Calibri"/>
          <w:sz w:val="23"/>
          <w:szCs w:val="23"/>
        </w:rPr>
        <w:t xml:space="preserve">Develop and review safe work practices throughout the School; </w:t>
      </w:r>
    </w:p>
    <w:p>
      <w:pPr>
        <w:pStyle w:val="Default"/>
        <w:numPr>
          <w:ilvl w:val="0"/>
          <w:numId w:val="11"/>
        </w:numPr>
        <w:tabs>
          <w:tab w:val="left" w:pos="426" w:leader="none"/>
        </w:tabs>
        <w:ind w:left="426" w:hanging="426"/>
        <w:jc w:val="both"/>
        <w:rPr>
          <w:rFonts w:ascii="Calibri" w:hAnsi="Calibri" w:cs="Tahoma"/>
          <w:sz w:val="23"/>
          <w:szCs w:val="23"/>
        </w:rPr>
      </w:pPr>
      <w:r>
        <w:rPr>
          <w:rFonts w:cs="Tahoma" w:ascii="Calibri" w:hAnsi="Calibri"/>
          <w:sz w:val="23"/>
          <w:szCs w:val="23"/>
        </w:rPr>
        <w:t xml:space="preserve">Monitor, develop and review safe work practice sheets for job activities and processes; </w:t>
      </w:r>
    </w:p>
    <w:p>
      <w:pPr>
        <w:pStyle w:val="Default"/>
        <w:numPr>
          <w:ilvl w:val="0"/>
          <w:numId w:val="11"/>
        </w:numPr>
        <w:tabs>
          <w:tab w:val="left" w:pos="426" w:leader="none"/>
        </w:tabs>
        <w:ind w:left="426" w:hanging="426"/>
        <w:jc w:val="both"/>
        <w:rPr>
          <w:rFonts w:ascii="Calibri" w:hAnsi="Calibri" w:cs="Tahoma"/>
          <w:sz w:val="23"/>
          <w:szCs w:val="23"/>
        </w:rPr>
      </w:pPr>
      <w:r>
        <w:rPr>
          <w:rFonts w:cs="Tahoma" w:ascii="Calibri" w:hAnsi="Calibri"/>
          <w:sz w:val="23"/>
          <w:szCs w:val="23"/>
        </w:rPr>
        <w:t>Co-ordinate the completion of risk assessments in all departments and to carry out regular hazard inspections;</w:t>
      </w:r>
    </w:p>
    <w:p>
      <w:pPr>
        <w:pStyle w:val="Default"/>
        <w:numPr>
          <w:ilvl w:val="0"/>
          <w:numId w:val="11"/>
        </w:numPr>
        <w:tabs>
          <w:tab w:val="left" w:pos="426" w:leader="none"/>
        </w:tabs>
        <w:ind w:left="426" w:hanging="426"/>
        <w:jc w:val="both"/>
        <w:rPr>
          <w:rFonts w:ascii="Calibri" w:hAnsi="Calibri" w:cs="Tahoma"/>
          <w:sz w:val="23"/>
          <w:szCs w:val="23"/>
        </w:rPr>
      </w:pPr>
      <w:r>
        <w:rPr>
          <w:rFonts w:cs="Tahoma" w:ascii="Calibri" w:hAnsi="Calibri"/>
          <w:sz w:val="23"/>
          <w:szCs w:val="23"/>
        </w:rPr>
        <w:t>Develop and manage programs and campaigns which promote a safety awareness culture within the School;</w:t>
      </w:r>
    </w:p>
    <w:p>
      <w:pPr>
        <w:pStyle w:val="Default"/>
        <w:numPr>
          <w:ilvl w:val="0"/>
          <w:numId w:val="11"/>
        </w:numPr>
        <w:tabs>
          <w:tab w:val="left" w:pos="426" w:leader="none"/>
        </w:tabs>
        <w:ind w:left="426" w:hanging="426"/>
        <w:jc w:val="both"/>
        <w:rPr>
          <w:rFonts w:ascii="Calibri" w:hAnsi="Calibri" w:cs="Tahoma"/>
          <w:sz w:val="23"/>
          <w:szCs w:val="23"/>
        </w:rPr>
      </w:pPr>
      <w:r>
        <w:rPr>
          <w:rFonts w:cs="Tahoma" w:ascii="Calibri" w:hAnsi="Calibri"/>
          <w:sz w:val="23"/>
          <w:szCs w:val="23"/>
        </w:rPr>
        <w:t xml:space="preserve">Liaise with the appropriate staff regarding contractors coming on to the School site, to ensure that their safety procedures are in order; </w:t>
      </w:r>
    </w:p>
    <w:p>
      <w:pPr>
        <w:pStyle w:val="Default"/>
        <w:numPr>
          <w:ilvl w:val="0"/>
          <w:numId w:val="11"/>
        </w:numPr>
        <w:ind w:left="426" w:hanging="426"/>
        <w:jc w:val="both"/>
        <w:rPr>
          <w:rFonts w:ascii="Calibri" w:hAnsi="Calibri" w:cs="Tahoma"/>
          <w:sz w:val="23"/>
          <w:szCs w:val="23"/>
        </w:rPr>
      </w:pPr>
      <w:r>
        <w:rPr>
          <w:rFonts w:cs="Tahoma" w:ascii="Calibri" w:hAnsi="Calibri"/>
          <w:sz w:val="23"/>
          <w:szCs w:val="23"/>
        </w:rPr>
        <w:t xml:space="preserve">Accompany Inspectors of the Health and Safety Authority during inspections; </w:t>
      </w:r>
    </w:p>
    <w:p>
      <w:pPr>
        <w:pStyle w:val="Default"/>
        <w:numPr>
          <w:ilvl w:val="0"/>
          <w:numId w:val="11"/>
        </w:numPr>
        <w:ind w:left="426" w:hanging="426"/>
        <w:jc w:val="both"/>
        <w:rPr>
          <w:rFonts w:ascii="Calibri" w:hAnsi="Calibri" w:cs="Tahoma"/>
          <w:sz w:val="23"/>
          <w:szCs w:val="23"/>
        </w:rPr>
      </w:pPr>
      <w:r>
        <w:rPr>
          <w:rFonts w:cs="Tahoma" w:ascii="Calibri" w:hAnsi="Calibri"/>
          <w:sz w:val="23"/>
          <w:szCs w:val="23"/>
        </w:rPr>
        <w:t xml:space="preserve">Insure that records relating to safety matters are maintained and are available for inspection; </w:t>
      </w:r>
    </w:p>
    <w:p>
      <w:pPr>
        <w:pStyle w:val="Default"/>
        <w:numPr>
          <w:ilvl w:val="0"/>
          <w:numId w:val="11"/>
        </w:numPr>
        <w:ind w:left="426" w:hanging="426"/>
        <w:jc w:val="both"/>
        <w:rPr>
          <w:rFonts w:ascii="Calibri" w:hAnsi="Calibri" w:cs="Tahoma"/>
          <w:sz w:val="23"/>
          <w:szCs w:val="23"/>
        </w:rPr>
      </w:pPr>
      <w:r>
        <w:rPr>
          <w:rFonts w:cs="Tahoma" w:ascii="Calibri" w:hAnsi="Calibri"/>
          <w:sz w:val="23"/>
          <w:szCs w:val="23"/>
        </w:rPr>
        <w:t>Maintain a health and safety library relevant to the needs of the School;</w:t>
      </w:r>
    </w:p>
    <w:p>
      <w:pPr>
        <w:pStyle w:val="Default"/>
        <w:numPr>
          <w:ilvl w:val="0"/>
          <w:numId w:val="11"/>
        </w:numPr>
        <w:ind w:left="426" w:hanging="426"/>
        <w:jc w:val="both"/>
        <w:rPr>
          <w:rFonts w:ascii="Calibri" w:hAnsi="Calibri" w:cs="Tahoma"/>
          <w:sz w:val="23"/>
          <w:szCs w:val="23"/>
        </w:rPr>
      </w:pPr>
      <w:r>
        <w:rPr>
          <w:rFonts w:cs="Tahoma" w:ascii="Calibri" w:hAnsi="Calibri"/>
          <w:sz w:val="23"/>
          <w:szCs w:val="23"/>
        </w:rPr>
        <w:t xml:space="preserve">Advise on legislative changes, standards and codes of practice and </w:t>
      </w:r>
    </w:p>
    <w:p>
      <w:pPr>
        <w:pStyle w:val="Default"/>
        <w:numPr>
          <w:ilvl w:val="0"/>
          <w:numId w:val="11"/>
        </w:numPr>
        <w:ind w:left="426" w:hanging="426"/>
        <w:jc w:val="both"/>
        <w:rPr>
          <w:rFonts w:ascii="Calibri" w:hAnsi="Calibri" w:cs="Tahoma"/>
          <w:sz w:val="23"/>
          <w:szCs w:val="23"/>
        </w:rPr>
      </w:pPr>
      <w:r>
        <w:rPr>
          <w:rFonts w:cs="Tahoma" w:ascii="Calibri" w:hAnsi="Calibri"/>
          <w:sz w:val="23"/>
          <w:szCs w:val="23"/>
        </w:rPr>
        <w:t xml:space="preserve">Forecast (subject to funding) annual department expenditure and work to a set health and safety budget as agreed by the Secretary Manager. </w:t>
      </w:r>
    </w:p>
    <w:p>
      <w:pPr>
        <w:pStyle w:val="Default"/>
        <w:jc w:val="both"/>
        <w:rPr>
          <w:rFonts w:ascii="Calibri" w:hAnsi="Calibri" w:cs="Tahoma"/>
          <w:sz w:val="23"/>
          <w:szCs w:val="23"/>
        </w:rPr>
      </w:pPr>
      <w:r>
        <w:rPr>
          <w:rFonts w:cs="Tahoma" w:ascii="Calibri" w:hAnsi="Calibri"/>
          <w:sz w:val="23"/>
          <w:szCs w:val="23"/>
        </w:rPr>
      </w:r>
    </w:p>
    <w:tbl>
      <w:tblPr>
        <w:tblW w:w="7983" w:type="dxa"/>
        <w:jc w:val="left"/>
        <w:tblInd w:w="181" w:type="dxa"/>
        <w:tblBorders/>
        <w:tblCellMar>
          <w:top w:w="0" w:type="dxa"/>
          <w:left w:w="108" w:type="dxa"/>
          <w:bottom w:w="0" w:type="dxa"/>
          <w:right w:w="108" w:type="dxa"/>
        </w:tblCellMar>
        <w:tblLook w:firstRow="0" w:noVBand="0" w:lastRow="0" w:firstColumn="0" w:lastColumn="0" w:noHBand="0" w:val="0000"/>
      </w:tblPr>
      <w:tblGrid>
        <w:gridCol w:w="7983"/>
      </w:tblGrid>
      <w:tr>
        <w:trPr>
          <w:trHeight w:val="346" w:hRule="atLeast"/>
        </w:trPr>
        <w:tc>
          <w:tcPr>
            <w:tcW w:w="7983" w:type="dxa"/>
            <w:tcBorders/>
            <w:shd w:fill="auto" w:val="clear"/>
          </w:tcPr>
          <w:p>
            <w:pPr>
              <w:pStyle w:val="Heading3"/>
              <w:keepNext/>
              <w:keepLines/>
              <w:spacing w:lineRule="auto" w:line="240" w:before="200" w:after="0"/>
              <w:outlineLvl w:val="2"/>
              <w:rPr/>
            </w:pPr>
            <w:r>
              <w:rPr/>
              <w:t>3.3.4. Health and Safety Organisation Chart</w:t>
            </w:r>
          </w:p>
          <w:p>
            <w:pPr>
              <w:pStyle w:val="Normal"/>
              <w:widowControl/>
              <w:bidi w:val="0"/>
              <w:spacing w:lineRule="auto" w:line="276" w:before="0" w:after="200"/>
              <w:jc w:val="left"/>
              <w:rPr/>
            </w:pPr>
            <w:r>
              <w:rPr/>
            </w:r>
          </w:p>
        </w:tc>
      </w:tr>
    </w:tbl>
    <w:p>
      <w:pPr>
        <w:pStyle w:val="Normal"/>
        <w:spacing w:lineRule="auto" w:line="240"/>
        <w:rPr>
          <w:rFonts w:cs="Tahoma"/>
        </w:rPr>
      </w:pPr>
      <w:r>
        <w:rPr/>
        <w:drawing>
          <wp:inline distT="0" distB="0" distL="0" distR="0">
            <wp:extent cx="5487035" cy="3201035"/>
            <wp:effectExtent l="0" t="0" r="0" b="0"/>
            <wp:docPr id="1" name="Diagram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 r:lo="rId3" r:qs="rId4" r:cs="rId5"/>
              </a:graphicData>
            </a:graphic>
          </wp:inline>
        </w:drawing>
      </w:r>
    </w:p>
    <w:p>
      <w:pPr>
        <w:pStyle w:val="Normal"/>
        <w:spacing w:lineRule="auto" w:line="240"/>
        <w:jc w:val="center"/>
        <w:rPr>
          <w:rFonts w:cs="Tahoma"/>
        </w:rPr>
      </w:pPr>
      <w:r>
        <w:rPr>
          <w:rFonts w:cs="Tahoma"/>
        </w:rPr>
      </w:r>
    </w:p>
    <w:p>
      <w:pPr>
        <w:pStyle w:val="Normal"/>
        <w:spacing w:lineRule="auto" w:line="240"/>
        <w:jc w:val="center"/>
        <w:rPr>
          <w:rFonts w:cs="Tahoma"/>
        </w:rPr>
      </w:pPr>
      <w:r>
        <w:rPr>
          <w:rFonts w:cs="Tahoma"/>
        </w:rPr>
        <w:t>#</w:t>
      </w:r>
    </w:p>
    <w:p>
      <w:pPr>
        <w:pStyle w:val="Normal"/>
        <w:spacing w:lineRule="auto" w:line="240"/>
        <w:jc w:val="center"/>
        <w:rPr>
          <w:rFonts w:cs="Tahoma"/>
        </w:rPr>
      </w:pPr>
      <w:r>
        <w:rPr>
          <w:rFonts w:cs="Tahoma"/>
        </w:rPr>
      </w:r>
    </w:p>
    <w:p>
      <w:pPr>
        <w:pStyle w:val="Normal"/>
        <w:spacing w:lineRule="auto" w:line="240"/>
        <w:jc w:val="center"/>
        <w:rPr>
          <w:rFonts w:cs="Tahoma"/>
        </w:rPr>
      </w:pPr>
      <w:r>
        <w:rPr>
          <w:rFonts w:cs="Tahoma"/>
        </w:rPr>
      </w:r>
    </w:p>
    <w:p>
      <w:pPr>
        <w:pStyle w:val="Normal"/>
        <w:spacing w:lineRule="auto" w:line="240"/>
        <w:jc w:val="center"/>
        <w:rPr>
          <w:rFonts w:cs="Tahoma"/>
        </w:rPr>
      </w:pPr>
      <w:r>
        <w:rPr>
          <w:rFonts w:cs="Tahoma"/>
        </w:rPr>
      </w:r>
    </w:p>
    <w:p>
      <w:pPr>
        <w:pStyle w:val="Heading2"/>
        <w:spacing w:lineRule="auto" w:line="240"/>
        <w:rPr>
          <w:rFonts w:ascii="Calibri" w:hAnsi="Calibri"/>
        </w:rPr>
      </w:pPr>
      <w:bookmarkStart w:id="9" w:name="_Toc244923553"/>
      <w:r>
        <w:rPr>
          <w:rFonts w:ascii="Calibri" w:hAnsi="Calibri"/>
        </w:rPr>
        <w:t>3.4 Consultation, Participation and Representation</w:t>
      </w:r>
      <w:bookmarkEnd w:id="9"/>
      <w:r>
        <w:rPr>
          <w:rFonts w:ascii="Calibri" w:hAnsi="Calibri"/>
        </w:rPr>
        <w:t xml:space="preserve"> </w:t>
      </w:r>
    </w:p>
    <w:p>
      <w:pPr>
        <w:pStyle w:val="Normal"/>
        <w:spacing w:lineRule="auto" w:line="240"/>
        <w:rPr>
          <w:rFonts w:cs="Tahoma"/>
        </w:rPr>
      </w:pPr>
      <w:r>
        <w:rPr>
          <w:rFonts w:cs="Tahoma"/>
        </w:rPr>
      </w:r>
    </w:p>
    <w:p>
      <w:pPr>
        <w:pStyle w:val="Default"/>
        <w:jc w:val="both"/>
        <w:rPr>
          <w:rFonts w:ascii="Calibri" w:hAnsi="Calibri" w:cs="Tahoma"/>
          <w:sz w:val="23"/>
          <w:szCs w:val="23"/>
        </w:rPr>
      </w:pPr>
      <w:r>
        <w:rPr>
          <w:rFonts w:cs="Tahoma" w:ascii="Calibri" w:hAnsi="Calibri"/>
          <w:sz w:val="23"/>
          <w:szCs w:val="23"/>
        </w:rPr>
        <w:t xml:space="preserve">Consultation is required to take place under Section 26 of the Safety, Health and Welfare at Work Act 2005. Section 26 (1) of the Act states </w:t>
      </w:r>
      <w:r>
        <w:rPr>
          <w:rFonts w:cs="Tahoma" w:ascii="Calibri" w:hAnsi="Calibri"/>
          <w:i/>
          <w:sz w:val="23"/>
          <w:szCs w:val="23"/>
        </w:rPr>
        <w:t>“It is the duty of every employer to consult with his employees for the purpose of the arrangements that will enable him and his employees to co-operate effectively in promoting and developing measures to ensure the safety, health and welfare at work</w:t>
      </w:r>
      <w:r>
        <w:rPr>
          <w:rFonts w:cs="Tahoma" w:ascii="Calibri" w:hAnsi="Calibri"/>
          <w:sz w:val="23"/>
          <w:szCs w:val="23"/>
        </w:rPr>
        <w:t>.”</w:t>
      </w:r>
    </w:p>
    <w:p>
      <w:pPr>
        <w:pStyle w:val="Default"/>
        <w:jc w:val="both"/>
        <w:rPr>
          <w:rFonts w:ascii="Calibri" w:hAnsi="Calibri" w:cs="Tahoma"/>
          <w:sz w:val="23"/>
          <w:szCs w:val="23"/>
        </w:rPr>
      </w:pPr>
      <w:r>
        <w:rPr>
          <w:rFonts w:cs="Tahoma" w:ascii="Calibri" w:hAnsi="Calibri"/>
          <w:sz w:val="23"/>
          <w:szCs w:val="23"/>
        </w:rPr>
      </w:r>
    </w:p>
    <w:p>
      <w:pPr>
        <w:pStyle w:val="Default"/>
        <w:jc w:val="both"/>
        <w:rPr>
          <w:rFonts w:ascii="Calibri" w:hAnsi="Calibri" w:cs="Tahoma"/>
          <w:sz w:val="23"/>
          <w:szCs w:val="23"/>
        </w:rPr>
      </w:pPr>
      <w:r>
        <w:rPr>
          <w:rFonts w:cs="Tahoma" w:ascii="Calibri" w:hAnsi="Calibri"/>
          <w:sz w:val="23"/>
          <w:szCs w:val="23"/>
        </w:rPr>
        <w:t xml:space="preserve">Section 26 (2) of the Act provides employees with the right to make representations to, and consult with the employer on matters of safety, health and welfare in their place of work. In order for consultation to take place the following arrangements will be adhered to: </w:t>
      </w:r>
    </w:p>
    <w:p>
      <w:pPr>
        <w:pStyle w:val="Default"/>
        <w:jc w:val="both"/>
        <w:rPr>
          <w:rFonts w:ascii="Calibri" w:hAnsi="Calibri" w:cs="Tahoma"/>
          <w:sz w:val="23"/>
          <w:szCs w:val="23"/>
        </w:rPr>
      </w:pPr>
      <w:r>
        <w:rPr>
          <w:rFonts w:cs="Tahoma" w:ascii="Calibri" w:hAnsi="Calibri"/>
          <w:sz w:val="23"/>
          <w:szCs w:val="23"/>
        </w:rPr>
      </w:r>
    </w:p>
    <w:p>
      <w:pPr>
        <w:pStyle w:val="Default"/>
        <w:numPr>
          <w:ilvl w:val="0"/>
          <w:numId w:val="44"/>
        </w:numPr>
        <w:ind w:left="284" w:hanging="284"/>
        <w:jc w:val="both"/>
        <w:rPr>
          <w:rFonts w:ascii="Calibri" w:hAnsi="Calibri" w:cs="Tahoma"/>
          <w:sz w:val="23"/>
          <w:szCs w:val="23"/>
        </w:rPr>
      </w:pPr>
      <w:r>
        <w:rPr>
          <w:rFonts w:cs="Tahoma" w:ascii="Calibri" w:hAnsi="Calibri"/>
          <w:sz w:val="23"/>
          <w:szCs w:val="23"/>
        </w:rPr>
        <w:t>A safety consultation system will be operated in</w:t>
      </w:r>
      <w:r>
        <w:rPr/>
        <w:t xml:space="preserve"> Togher Boys’ </w:t>
      </w:r>
      <w:r>
        <w:rPr>
          <w:rFonts w:cs="Tahoma" w:ascii="Calibri" w:hAnsi="Calibri"/>
          <w:sz w:val="23"/>
          <w:szCs w:val="23"/>
        </w:rPr>
        <w:t xml:space="preserve">National School in relation to health and safety matters. </w:t>
      </w:r>
    </w:p>
    <w:p>
      <w:pPr>
        <w:pStyle w:val="Default"/>
        <w:numPr>
          <w:ilvl w:val="0"/>
          <w:numId w:val="44"/>
        </w:numPr>
        <w:ind w:left="284" w:hanging="284"/>
        <w:jc w:val="both"/>
        <w:rPr>
          <w:rFonts w:ascii="Calibri" w:hAnsi="Calibri" w:cs="Tahoma"/>
          <w:sz w:val="23"/>
          <w:szCs w:val="23"/>
        </w:rPr>
      </w:pPr>
      <w:r>
        <w:rPr>
          <w:rFonts w:cs="Tahoma" w:ascii="Calibri" w:hAnsi="Calibri"/>
          <w:sz w:val="23"/>
          <w:szCs w:val="23"/>
        </w:rPr>
        <w:t xml:space="preserve">Ensure that consultation will take place regularly on Health &amp; Safety matters - Health and Safety will be a standard item on the agenda of the Board of Management. </w:t>
      </w:r>
    </w:p>
    <w:p>
      <w:pPr>
        <w:pStyle w:val="Default"/>
        <w:numPr>
          <w:ilvl w:val="0"/>
          <w:numId w:val="44"/>
        </w:numPr>
        <w:ind w:left="284" w:hanging="284"/>
        <w:jc w:val="both"/>
        <w:rPr>
          <w:rFonts w:ascii="Calibri" w:hAnsi="Calibri" w:cs="Tahoma"/>
          <w:sz w:val="23"/>
          <w:szCs w:val="23"/>
        </w:rPr>
      </w:pPr>
      <w:r>
        <w:rPr>
          <w:rFonts w:cs="Tahoma" w:ascii="Calibri" w:hAnsi="Calibri"/>
          <w:sz w:val="23"/>
          <w:szCs w:val="23"/>
        </w:rPr>
        <w:t xml:space="preserve">The School recognises its need to consult with outside persons to advise/inform them on health and safety issues. These include the Health &amp; Safety Authority, Environmental Health Officers, the Fire Service, the Garda Siochana, Employers and Workers Representatives, City Council, Contractors, Design Consultants, Equipment suppliers, Insurance Companies, Occupational Health Physicians, Occupational Health Services and competent Health &amp; Safety Consultants. </w:t>
      </w:r>
    </w:p>
    <w:p>
      <w:pPr>
        <w:pStyle w:val="Heading3"/>
        <w:rPr/>
      </w:pPr>
      <w:r>
        <w:rPr/>
        <w:t xml:space="preserve">3.4.1 The Role of the Health and Safety Authority </w:t>
      </w:r>
    </w:p>
    <w:p>
      <w:pPr>
        <w:pStyle w:val="Default"/>
        <w:jc w:val="both"/>
        <w:rPr>
          <w:rFonts w:ascii="Calibri" w:hAnsi="Calibri" w:cs="Tahoma"/>
          <w:sz w:val="23"/>
          <w:szCs w:val="23"/>
        </w:rPr>
      </w:pPr>
      <w:r>
        <w:rPr>
          <w:rFonts w:cs="Tahoma" w:ascii="Calibri" w:hAnsi="Calibri"/>
          <w:sz w:val="23"/>
          <w:szCs w:val="23"/>
        </w:rPr>
        <w:t xml:space="preserve">Inspectors of the Health and Safety Authority (HSA) have the power to enter, inspect, examine and search at all times any place which he/she has reasonable cause to believe is used as a place of work. Therefore inspections may be carried out without prior arrangement, but inspectors must be identified before being admitted to the School. </w:t>
      </w:r>
    </w:p>
    <w:p>
      <w:pPr>
        <w:pStyle w:val="Default"/>
        <w:jc w:val="both"/>
        <w:rPr>
          <w:rFonts w:ascii="Calibri" w:hAnsi="Calibri" w:cs="Tahoma"/>
          <w:sz w:val="23"/>
          <w:szCs w:val="23"/>
        </w:rPr>
      </w:pPr>
      <w:r>
        <w:rPr>
          <w:rFonts w:cs="Tahoma" w:ascii="Calibri" w:hAnsi="Calibri"/>
          <w:sz w:val="23"/>
          <w:szCs w:val="23"/>
        </w:rPr>
      </w:r>
    </w:p>
    <w:p>
      <w:pPr>
        <w:pStyle w:val="Default"/>
        <w:jc w:val="both"/>
        <w:rPr>
          <w:rFonts w:ascii="Calibri" w:hAnsi="Calibri" w:cs="Tahoma"/>
          <w:sz w:val="23"/>
          <w:szCs w:val="23"/>
        </w:rPr>
      </w:pPr>
      <w:r>
        <w:rPr>
          <w:rFonts w:cs="Tahoma" w:ascii="Calibri" w:hAnsi="Calibri"/>
          <w:sz w:val="23"/>
          <w:szCs w:val="23"/>
        </w:rPr>
        <w:t xml:space="preserve">All staff within the School must co-operate with such an authorised HSA inspector in his/her duties and ensure they that they have access to all requested areas and safety documentation. The Health and Safety Officer and Teacher for the area being inspected must be advised of the inspector’s arrival, where possible. </w:t>
      </w:r>
    </w:p>
    <w:p>
      <w:pPr>
        <w:pStyle w:val="Default"/>
        <w:jc w:val="both"/>
        <w:rPr>
          <w:rFonts w:ascii="Calibri" w:hAnsi="Calibri" w:cs="Tahoma"/>
          <w:sz w:val="23"/>
          <w:szCs w:val="23"/>
        </w:rPr>
      </w:pPr>
      <w:r>
        <w:rPr>
          <w:rFonts w:cs="Tahoma" w:ascii="Calibri" w:hAnsi="Calibri"/>
          <w:sz w:val="23"/>
          <w:szCs w:val="23"/>
        </w:rPr>
      </w:r>
    </w:p>
    <w:p>
      <w:pPr>
        <w:pStyle w:val="Heading1"/>
        <w:spacing w:lineRule="auto" w:line="240"/>
        <w:rPr>
          <w:rFonts w:ascii="Calibri" w:hAnsi="Calibri"/>
        </w:rPr>
      </w:pPr>
      <w:bookmarkStart w:id="10" w:name="_Toc244923554"/>
      <w:bookmarkEnd w:id="10"/>
      <w:r>
        <w:rPr>
          <w:rFonts w:ascii="Calibri" w:hAnsi="Calibri"/>
        </w:rPr>
        <w:t>4. Promotion of the Safety Statement</w:t>
      </w:r>
    </w:p>
    <w:p>
      <w:pPr>
        <w:pStyle w:val="Normal"/>
        <w:spacing w:lineRule="auto" w:line="240" w:before="0" w:after="0"/>
        <w:rPr>
          <w:rFonts w:cs="Tahoma"/>
        </w:rPr>
      </w:pPr>
      <w:r>
        <w:rPr>
          <w:rFonts w:cs="Tahoma"/>
        </w:rPr>
      </w:r>
    </w:p>
    <w:p>
      <w:pPr>
        <w:pStyle w:val="Normal"/>
        <w:spacing w:lineRule="auto" w:line="240" w:before="0" w:after="0"/>
        <w:jc w:val="both"/>
        <w:rPr>
          <w:rFonts w:cs="Tahoma"/>
        </w:rPr>
      </w:pPr>
      <w:r>
        <w:rPr>
          <w:rFonts w:cs="Tahoma"/>
        </w:rPr>
        <w:t>The safety statement represents a policy document of the Services commitment to safety, health and welfare of all those affected by our actions. It is an initial step in improving safety measures and making the School a safer place to work. In order for it to be effective it needs to be implemented, but a precursor to this is the promotion of the policy itself. The promotion of the safety statement involves:</w:t>
      </w:r>
    </w:p>
    <w:p>
      <w:pPr>
        <w:pStyle w:val="Normal"/>
        <w:spacing w:lineRule="auto" w:line="240" w:before="0" w:after="0"/>
        <w:jc w:val="both"/>
        <w:rPr>
          <w:rFonts w:cs="Tahoma"/>
        </w:rPr>
      </w:pPr>
      <w:r>
        <w:rPr>
          <w:rFonts w:cs="Tahoma"/>
        </w:rPr>
      </w:r>
    </w:p>
    <w:p>
      <w:pPr>
        <w:pStyle w:val="Normal"/>
        <w:numPr>
          <w:ilvl w:val="1"/>
          <w:numId w:val="12"/>
        </w:numPr>
        <w:spacing w:lineRule="auto" w:line="240" w:before="0" w:after="0"/>
        <w:ind w:left="284" w:hanging="284"/>
        <w:jc w:val="both"/>
        <w:rPr>
          <w:rFonts w:cs="Tahoma"/>
        </w:rPr>
      </w:pPr>
      <w:r>
        <w:rPr>
          <w:rFonts w:cs="Tahoma"/>
        </w:rPr>
        <w:t>A copy statement to be sent to all staff</w:t>
      </w:r>
      <w:r>
        <w:rPr>
          <w:rFonts w:cs="Tahoma"/>
          <w:sz w:val="23"/>
          <w:szCs w:val="23"/>
        </w:rPr>
        <w:t>;</w:t>
      </w:r>
    </w:p>
    <w:p>
      <w:pPr>
        <w:pStyle w:val="Normal"/>
        <w:numPr>
          <w:ilvl w:val="1"/>
          <w:numId w:val="12"/>
        </w:numPr>
        <w:spacing w:lineRule="auto" w:line="240" w:before="0" w:after="0"/>
        <w:ind w:left="284" w:hanging="284"/>
        <w:jc w:val="both"/>
        <w:rPr>
          <w:rFonts w:cs="Tahoma"/>
        </w:rPr>
      </w:pPr>
      <w:r>
        <w:rPr>
          <w:rFonts w:cs="Tahoma"/>
        </w:rPr>
        <w:t>Reminders about the safety statement, e.g. circulars on notice board</w:t>
      </w:r>
      <w:r>
        <w:rPr>
          <w:rFonts w:cs="Tahoma"/>
          <w:sz w:val="23"/>
          <w:szCs w:val="23"/>
        </w:rPr>
        <w:t>;</w:t>
      </w:r>
    </w:p>
    <w:p>
      <w:pPr>
        <w:pStyle w:val="Normal"/>
        <w:numPr>
          <w:ilvl w:val="1"/>
          <w:numId w:val="12"/>
        </w:numPr>
        <w:spacing w:lineRule="auto" w:line="240" w:before="0" w:after="0"/>
        <w:ind w:left="284" w:hanging="284"/>
        <w:jc w:val="both"/>
        <w:rPr>
          <w:rFonts w:cs="Tahoma"/>
        </w:rPr>
      </w:pPr>
      <w:r>
        <w:rPr>
          <w:rFonts w:cs="Tahoma"/>
        </w:rPr>
        <w:t>Promotional talks within the school</w:t>
      </w:r>
      <w:r>
        <w:rPr>
          <w:rFonts w:cs="Tahoma"/>
          <w:sz w:val="23"/>
          <w:szCs w:val="23"/>
        </w:rPr>
        <w:t>;</w:t>
      </w:r>
    </w:p>
    <w:p>
      <w:pPr>
        <w:pStyle w:val="Normal"/>
        <w:numPr>
          <w:ilvl w:val="1"/>
          <w:numId w:val="12"/>
        </w:numPr>
        <w:spacing w:lineRule="auto" w:line="240" w:before="0" w:after="0"/>
        <w:ind w:left="284" w:hanging="284"/>
        <w:jc w:val="both"/>
        <w:rPr>
          <w:rFonts w:cs="Tahoma"/>
        </w:rPr>
      </w:pPr>
      <w:r>
        <w:rPr>
          <w:rFonts w:cs="Tahoma"/>
        </w:rPr>
        <w:t>The existence of the safety statement at School committee meetings</w:t>
      </w:r>
      <w:r>
        <w:rPr>
          <w:rFonts w:cs="Tahoma"/>
          <w:sz w:val="23"/>
          <w:szCs w:val="23"/>
        </w:rPr>
        <w:t xml:space="preserve"> and</w:t>
      </w:r>
    </w:p>
    <w:p>
      <w:pPr>
        <w:pStyle w:val="Normal"/>
        <w:numPr>
          <w:ilvl w:val="1"/>
          <w:numId w:val="12"/>
        </w:numPr>
        <w:spacing w:lineRule="auto" w:line="240" w:before="0" w:after="0"/>
        <w:ind w:left="284" w:hanging="284"/>
        <w:jc w:val="both"/>
        <w:rPr>
          <w:rFonts w:cs="Tahoma"/>
        </w:rPr>
      </w:pPr>
      <w:r>
        <w:rPr>
          <w:rFonts w:cs="Tahoma"/>
        </w:rPr>
        <w:t>During induction days.</w:t>
      </w:r>
    </w:p>
    <w:p>
      <w:pPr>
        <w:pStyle w:val="Normal"/>
        <w:spacing w:lineRule="auto" w:line="240" w:before="0" w:after="0"/>
        <w:ind w:left="284" w:hanging="0"/>
        <w:jc w:val="both"/>
        <w:rPr>
          <w:rFonts w:cs="Tahoma"/>
        </w:rPr>
      </w:pPr>
      <w:r>
        <w:rPr>
          <w:rFonts w:cs="Tahoma"/>
        </w:rPr>
      </w:r>
    </w:p>
    <w:p>
      <w:pPr>
        <w:pStyle w:val="Normal"/>
        <w:spacing w:lineRule="auto" w:line="240" w:before="0" w:after="0"/>
        <w:jc w:val="both"/>
        <w:rPr>
          <w:rFonts w:cs="Tahoma"/>
        </w:rPr>
      </w:pPr>
      <w:r>
        <w:rPr>
          <w:rFonts w:cs="Tahoma"/>
        </w:rPr>
        <w:t>In addition to the promotion of the safety statement among staff, the contents of relevant sections must be communicated and promoted amongst other parties, namely contractors and visitors.</w:t>
      </w:r>
    </w:p>
    <w:p>
      <w:pPr>
        <w:pStyle w:val="Heading2"/>
        <w:spacing w:lineRule="auto" w:line="240"/>
        <w:rPr>
          <w:rFonts w:ascii="Calibri" w:hAnsi="Calibri"/>
        </w:rPr>
      </w:pPr>
      <w:bookmarkStart w:id="11" w:name="_Toc244923555"/>
      <w:bookmarkEnd w:id="11"/>
      <w:r>
        <w:rPr>
          <w:rFonts w:ascii="Calibri" w:hAnsi="Calibri"/>
        </w:rPr>
        <w:t>4.1 Implementation of the Safety Statement</w:t>
      </w:r>
    </w:p>
    <w:p>
      <w:pPr>
        <w:pStyle w:val="Normal"/>
        <w:spacing w:lineRule="auto" w:line="240" w:before="0" w:after="0"/>
        <w:rPr/>
      </w:pPr>
      <w:r>
        <w:rPr/>
      </w:r>
    </w:p>
    <w:p>
      <w:pPr>
        <w:pStyle w:val="Normal"/>
        <w:spacing w:lineRule="auto" w:line="240" w:before="0" w:after="0"/>
        <w:jc w:val="both"/>
        <w:rPr>
          <w:rFonts w:cs="Tahoma"/>
        </w:rPr>
      </w:pPr>
      <w:r>
        <w:rPr>
          <w:rFonts w:cs="Tahoma"/>
        </w:rPr>
        <w:t>The responsibility of reviewing the Safety Statement rests with the employer; however, individuals also have a responsibility in implementing the Safety Statement. Safety consultation and representation is important, as is communication between staff and management. Staff are advised of the location of the Safety Statement at induction and the necessity of all employees to read the Safety Statement.  The following measures facilitate the implementation of this safety statement:</w:t>
      </w:r>
    </w:p>
    <w:p>
      <w:pPr>
        <w:pStyle w:val="Normal"/>
        <w:spacing w:lineRule="auto" w:line="240" w:before="0" w:after="0"/>
        <w:jc w:val="both"/>
        <w:rPr>
          <w:rFonts w:cs="Tahoma"/>
        </w:rPr>
      </w:pPr>
      <w:r>
        <w:rPr>
          <w:rFonts w:cs="Tahoma"/>
        </w:rPr>
      </w:r>
    </w:p>
    <w:p>
      <w:pPr>
        <w:pStyle w:val="Normal"/>
        <w:numPr>
          <w:ilvl w:val="1"/>
          <w:numId w:val="13"/>
        </w:numPr>
        <w:spacing w:lineRule="auto" w:line="240" w:before="0" w:after="0"/>
        <w:ind w:left="284" w:hanging="284"/>
        <w:jc w:val="both"/>
        <w:rPr>
          <w:rFonts w:cs="Tahoma"/>
        </w:rPr>
      </w:pPr>
      <w:r>
        <w:rPr>
          <w:rFonts w:cs="Tahoma"/>
        </w:rPr>
        <w:t>Employee co-operation.</w:t>
      </w:r>
    </w:p>
    <w:p>
      <w:pPr>
        <w:pStyle w:val="Normal"/>
        <w:numPr>
          <w:ilvl w:val="1"/>
          <w:numId w:val="13"/>
        </w:numPr>
        <w:spacing w:lineRule="auto" w:line="240" w:before="0" w:after="0"/>
        <w:ind w:left="284" w:hanging="284"/>
        <w:jc w:val="both"/>
        <w:rPr>
          <w:rFonts w:cs="Tahoma"/>
        </w:rPr>
      </w:pPr>
      <w:r>
        <w:rPr>
          <w:rFonts w:cs="Tahoma"/>
        </w:rPr>
        <w:t>Direct implementation of the recommended controls/arrangements</w:t>
      </w:r>
    </w:p>
    <w:p>
      <w:pPr>
        <w:pStyle w:val="Normal"/>
        <w:numPr>
          <w:ilvl w:val="1"/>
          <w:numId w:val="13"/>
        </w:numPr>
        <w:spacing w:lineRule="auto" w:line="240" w:before="0" w:after="0"/>
        <w:ind w:left="284" w:hanging="284"/>
        <w:jc w:val="both"/>
        <w:rPr>
          <w:rFonts w:cs="Tahoma"/>
        </w:rPr>
      </w:pPr>
      <w:r>
        <w:rPr>
          <w:rFonts w:cs="Tahoma"/>
        </w:rPr>
        <w:t>Instruction and training.</w:t>
      </w:r>
    </w:p>
    <w:p>
      <w:pPr>
        <w:pStyle w:val="Normal"/>
        <w:numPr>
          <w:ilvl w:val="1"/>
          <w:numId w:val="13"/>
        </w:numPr>
        <w:spacing w:lineRule="auto" w:line="240" w:before="0" w:after="0"/>
        <w:ind w:left="284" w:hanging="284"/>
        <w:jc w:val="both"/>
        <w:rPr>
          <w:rFonts w:cs="Tahoma"/>
        </w:rPr>
      </w:pPr>
      <w:r>
        <w:rPr>
          <w:rFonts w:cs="Tahoma"/>
        </w:rPr>
        <w:t>The work of the Facilities/Maintenance contractors.</w:t>
      </w:r>
    </w:p>
    <w:p>
      <w:pPr>
        <w:pStyle w:val="Heading1"/>
        <w:spacing w:lineRule="auto" w:line="240"/>
        <w:rPr>
          <w:rFonts w:ascii="Calibri" w:hAnsi="Calibri"/>
        </w:rPr>
      </w:pPr>
      <w:bookmarkStart w:id="12" w:name="_Toc244923556"/>
      <w:bookmarkEnd w:id="12"/>
      <w:r>
        <w:rPr>
          <w:rFonts w:ascii="Calibri" w:hAnsi="Calibri"/>
        </w:rPr>
        <w:t>5. Procedure for Reporting Health and Safety Issues</w:t>
      </w:r>
    </w:p>
    <w:p>
      <w:pPr>
        <w:pStyle w:val="Normal"/>
        <w:spacing w:lineRule="auto" w:line="240"/>
        <w:rPr>
          <w:rFonts w:cs="Tahoma"/>
        </w:rPr>
      </w:pPr>
      <w:r>
        <w:rPr>
          <w:rFonts w:cs="Tahoma"/>
        </w:rPr>
      </w:r>
    </w:p>
    <w:p>
      <w:pPr>
        <w:pStyle w:val="Normal"/>
        <w:spacing w:lineRule="auto" w:line="240"/>
        <w:jc w:val="both"/>
        <w:rPr>
          <w:rFonts w:cs="Tahoma"/>
        </w:rPr>
      </w:pPr>
      <w:r>
        <w:rPr>
          <w:rFonts w:cs="Tahoma"/>
        </w:rPr>
        <w:t xml:space="preserve">All Health and Safety issues should be reported immediately to the Principal and the ‘in-house’ accident/incident report form filled in, where necessary. </w:t>
      </w:r>
    </w:p>
    <w:p>
      <w:pPr>
        <w:pStyle w:val="Normal"/>
        <w:spacing w:lineRule="auto" w:line="240"/>
        <w:jc w:val="both"/>
        <w:rPr>
          <w:rFonts w:cs="Tahoma"/>
        </w:rPr>
      </w:pPr>
      <w:r>
        <w:rPr>
          <w:rFonts w:cs="Tahoma"/>
        </w:rPr>
        <w:t>Ongoing Health and Safety issues will be included on the agenda for the School’s next staff meeting. Complaints will be discussed by the Board of Management.</w:t>
      </w:r>
    </w:p>
    <w:p>
      <w:pPr>
        <w:pStyle w:val="Normal"/>
        <w:spacing w:lineRule="auto" w:line="240"/>
        <w:jc w:val="both"/>
        <w:rPr>
          <w:rFonts w:cs="Tahoma"/>
        </w:rPr>
      </w:pPr>
      <w:r>
        <w:rPr>
          <w:rFonts w:cs="Tahoma"/>
        </w:rPr>
        <w:t>Control measures will be put in place to eliminate the hazard. If the hazard cannot be eliminated, the hazard will be substituted by an alternative safer process/method.</w:t>
      </w:r>
    </w:p>
    <w:p>
      <w:pPr>
        <w:pStyle w:val="Heading1"/>
        <w:spacing w:lineRule="auto" w:line="240"/>
        <w:rPr>
          <w:rFonts w:ascii="Calibri" w:hAnsi="Calibri"/>
        </w:rPr>
      </w:pPr>
      <w:bookmarkStart w:id="13" w:name="_Toc244923557"/>
      <w:bookmarkEnd w:id="13"/>
      <w:r>
        <w:rPr>
          <w:rFonts w:ascii="Calibri" w:hAnsi="Calibri"/>
        </w:rPr>
        <w:t>6. Hazards, Risks and Arrangements</w:t>
      </w:r>
    </w:p>
    <w:p>
      <w:pPr>
        <w:pStyle w:val="Normal"/>
        <w:spacing w:lineRule="auto" w:line="240"/>
        <w:rPr>
          <w:rFonts w:cs="Tahoma"/>
        </w:rPr>
      </w:pPr>
      <w:r>
        <w:rPr>
          <w:rFonts w:cs="Tahoma"/>
        </w:rPr>
      </w:r>
    </w:p>
    <w:p>
      <w:pPr>
        <w:pStyle w:val="Normal"/>
        <w:spacing w:lineRule="auto" w:line="240"/>
        <w:jc w:val="both"/>
        <w:rPr>
          <w:rFonts w:cs="Tahoma"/>
        </w:rPr>
      </w:pPr>
      <w:r>
        <w:rPr>
          <w:rFonts w:cs="Tahoma"/>
          <w:b/>
        </w:rPr>
        <w:t>A Hazard</w:t>
      </w:r>
      <w:r>
        <w:rPr>
          <w:rFonts w:cs="Tahoma"/>
        </w:rPr>
        <w:t xml:space="preserve"> is defined as anything that has the potential to cause harm. Risk is defined as the likelihood of the hazard occurring.</w:t>
      </w:r>
    </w:p>
    <w:p>
      <w:pPr>
        <w:pStyle w:val="Normal"/>
        <w:spacing w:lineRule="auto" w:line="240"/>
        <w:jc w:val="both"/>
        <w:rPr>
          <w:rFonts w:cs="Tahoma"/>
        </w:rPr>
      </w:pPr>
      <w:r>
        <w:rPr>
          <w:rFonts w:cs="Tahoma"/>
          <w:b/>
        </w:rPr>
        <w:t>A Risk Assessment</w:t>
      </w:r>
      <w:r>
        <w:rPr>
          <w:rFonts w:cs="Tahoma"/>
        </w:rPr>
        <w:t xml:space="preserve"> is a careful examination of what hazards in the workplace could cause harm to people, so that one can weigh up whether there has being enough precautions and controls implemented to prevent harm occurring. </w:t>
      </w:r>
    </w:p>
    <w:p>
      <w:pPr>
        <w:pStyle w:val="Normal"/>
        <w:spacing w:lineRule="auto" w:line="240"/>
        <w:jc w:val="both"/>
        <w:rPr>
          <w:rFonts w:cs="Tahoma"/>
        </w:rPr>
      </w:pPr>
      <w:r>
        <w:rPr>
          <w:rFonts w:cs="Tahoma"/>
          <w:b/>
        </w:rPr>
        <w:t>Control Measures</w:t>
      </w:r>
      <w:r>
        <w:rPr>
          <w:rFonts w:cs="Tahoma"/>
        </w:rPr>
        <w:t xml:space="preserve"> are listed as appropriate, to eliminate the hazard if possible.</w:t>
      </w:r>
    </w:p>
    <w:p>
      <w:pPr>
        <w:pStyle w:val="Heading2"/>
        <w:spacing w:lineRule="auto" w:line="240"/>
        <w:rPr>
          <w:rFonts w:ascii="Calibri" w:hAnsi="Calibri"/>
        </w:rPr>
      </w:pPr>
      <w:bookmarkStart w:id="14" w:name="_Toc244923558"/>
      <w:bookmarkEnd w:id="14"/>
      <w:r>
        <w:rPr>
          <w:rFonts w:ascii="Calibri" w:hAnsi="Calibri"/>
        </w:rPr>
        <w:t>6.1 Hazard Identification</w:t>
      </w:r>
    </w:p>
    <w:p>
      <w:pPr>
        <w:pStyle w:val="Normal"/>
        <w:spacing w:lineRule="auto" w:line="240"/>
        <w:jc w:val="both"/>
        <w:rPr>
          <w:rFonts w:cs="Tahoma"/>
        </w:rPr>
      </w:pPr>
      <w:r>
        <w:rPr>
          <w:rFonts w:cs="Tahoma"/>
        </w:rPr>
        <w:t>The identification of hazards is an essential first step in the control of health and safety risks.</w:t>
      </w:r>
    </w:p>
    <w:p>
      <w:pPr>
        <w:pStyle w:val="Normal"/>
        <w:spacing w:lineRule="auto" w:line="240"/>
        <w:jc w:val="both"/>
        <w:rPr>
          <w:rFonts w:cs="Tahoma"/>
        </w:rPr>
      </w:pPr>
      <w:r>
        <w:rPr>
          <w:rFonts w:cs="Tahoma"/>
        </w:rPr>
        <w:t>It involves a critical appraisal of all activities, taking account of hazards to employees and others affected by School activities involving contractors, suppliers and members of the public.</w:t>
      </w:r>
    </w:p>
    <w:p>
      <w:pPr>
        <w:pStyle w:val="Normal"/>
        <w:spacing w:lineRule="auto" w:line="240"/>
        <w:jc w:val="both"/>
        <w:rPr>
          <w:rFonts w:cs="Tahoma"/>
        </w:rPr>
      </w:pPr>
      <w:r>
        <w:rPr>
          <w:rFonts w:cs="Tahoma"/>
        </w:rPr>
        <w:t>To ensure a systematic evaluation of hazards, the School will refer to relevant health and safety legislation and codes of practice which give practical guidance and basic minimum requirements, and to relevant European Union and other international health and safety guidance information provided by manufacturers and suppliers of articles and substances used in the workplace, relative national and international standards, relative industry or trade association guidance, personal knowledge and experience of managers and employees, accidents, incident data from the School itself and expert advice and opinion from competent health and safety professionals.</w:t>
      </w:r>
    </w:p>
    <w:p>
      <w:pPr>
        <w:pStyle w:val="Normal"/>
        <w:spacing w:lineRule="auto" w:line="240"/>
        <w:jc w:val="both"/>
        <w:rPr>
          <w:rFonts w:cs="Tahoma"/>
        </w:rPr>
      </w:pPr>
      <w:r>
        <w:rPr>
          <w:rFonts w:cs="Tahoma"/>
        </w:rPr>
        <w:t>In performing hazard identification there will be ongoing critical appraisal of all routine and non-routine activities throughout the School.</w:t>
      </w:r>
    </w:p>
    <w:p>
      <w:pPr>
        <w:pStyle w:val="Normal"/>
        <w:spacing w:lineRule="auto" w:line="240"/>
        <w:jc w:val="both"/>
        <w:rPr>
          <w:rFonts w:cs="Tahoma"/>
        </w:rPr>
      </w:pPr>
      <w:r>
        <w:rPr>
          <w:rFonts w:cs="Tahoma"/>
        </w:rPr>
        <w:t>Hazards can be identified by carrying out ongoing inspections on work activities and processes in the School.</w:t>
      </w:r>
    </w:p>
    <w:p>
      <w:pPr>
        <w:pStyle w:val="Normal"/>
        <w:spacing w:lineRule="auto" w:line="240"/>
        <w:jc w:val="both"/>
        <w:rPr>
          <w:rFonts w:cs="Tahoma"/>
        </w:rPr>
      </w:pPr>
      <w:r>
        <w:rPr>
          <w:rFonts w:cs="Tahoma"/>
        </w:rPr>
        <w:t>Checklists are developed in order to identify re-occurring and obvious hazards.</w:t>
      </w:r>
    </w:p>
    <w:p>
      <w:pPr>
        <w:pStyle w:val="Heading3"/>
        <w:rPr/>
      </w:pPr>
      <w:r>
        <w:rPr/>
        <w:t>6.1.1 Classification/Characterisation of Hazards</w:t>
      </w:r>
    </w:p>
    <w:p>
      <w:pPr>
        <w:pStyle w:val="Normal"/>
        <w:spacing w:lineRule="auto" w:line="240"/>
        <w:jc w:val="both"/>
        <w:rPr>
          <w:rFonts w:cs="Tahoma"/>
        </w:rPr>
      </w:pPr>
      <w:r>
        <w:rPr>
          <w:rFonts w:cs="Tahoma"/>
        </w:rPr>
        <w:t>Hazards are classified into four categories.</w:t>
      </w:r>
    </w:p>
    <w:p>
      <w:pPr>
        <w:pStyle w:val="Normal"/>
        <w:spacing w:lineRule="auto" w:line="240"/>
        <w:jc w:val="both"/>
        <w:rPr>
          <w:rFonts w:cs="Tahoma"/>
        </w:rPr>
      </w:pPr>
      <w:r>
        <w:rPr>
          <w:rFonts w:cs="Tahoma"/>
        </w:rPr>
        <w:t>These include Physical Hazards, Chemical Hazards, Biological Hazards and Psychological</w:t>
      </w:r>
    </w:p>
    <w:p>
      <w:pPr>
        <w:pStyle w:val="Normal"/>
        <w:spacing w:lineRule="auto" w:line="240"/>
        <w:jc w:val="both"/>
        <w:rPr>
          <w:rFonts w:cs="Tahoma"/>
        </w:rPr>
      </w:pPr>
      <w:r>
        <w:rPr>
          <w:rFonts w:cs="Tahoma"/>
        </w:rPr>
        <w:t>The following includes a checklist, which provides a systematic though not exhaustive, approach to identifying hazards in the work place.</w:t>
      </w:r>
    </w:p>
    <w:p>
      <w:pPr>
        <w:pStyle w:val="Normal"/>
        <w:spacing w:lineRule="auto" w:line="240"/>
        <w:jc w:val="both"/>
        <w:rPr>
          <w:rFonts w:cs="Tahoma"/>
          <w:b/>
          <w:b/>
        </w:rPr>
      </w:pPr>
      <w:r>
        <w:rPr>
          <w:rFonts w:cs="Tahoma"/>
          <w:b/>
        </w:rPr>
        <w:t>Physical Hazards</w:t>
      </w:r>
    </w:p>
    <w:p>
      <w:pPr>
        <w:pStyle w:val="Normal"/>
        <w:spacing w:lineRule="auto" w:line="240" w:before="0" w:after="0"/>
        <w:jc w:val="both"/>
        <w:rPr>
          <w:rFonts w:cs="Tahoma"/>
        </w:rPr>
      </w:pPr>
      <w:r>
        <w:rPr>
          <w:rFonts w:cs="Tahoma"/>
        </w:rPr>
      </w:r>
    </w:p>
    <w:p>
      <w:pPr>
        <w:pStyle w:val="Normal"/>
        <w:numPr>
          <w:ilvl w:val="2"/>
          <w:numId w:val="14"/>
        </w:numPr>
        <w:spacing w:lineRule="auto" w:line="240" w:before="0" w:after="0"/>
        <w:ind w:left="284" w:hanging="284"/>
        <w:jc w:val="both"/>
        <w:rPr>
          <w:rFonts w:cs="Tahoma"/>
        </w:rPr>
      </w:pPr>
      <w:r>
        <w:rPr>
          <w:rFonts w:cs="Tahoma"/>
        </w:rPr>
        <w:t>Manual Handling</w:t>
      </w:r>
    </w:p>
    <w:p>
      <w:pPr>
        <w:pStyle w:val="Normal"/>
        <w:numPr>
          <w:ilvl w:val="2"/>
          <w:numId w:val="14"/>
        </w:numPr>
        <w:spacing w:lineRule="auto" w:line="240" w:before="0" w:after="0"/>
        <w:ind w:left="284" w:hanging="284"/>
        <w:jc w:val="both"/>
        <w:rPr>
          <w:rFonts w:cs="Tahoma"/>
        </w:rPr>
      </w:pPr>
      <w:r>
        <w:rPr>
          <w:rFonts w:cs="Tahoma"/>
        </w:rPr>
        <w:t>Equipment</w:t>
      </w:r>
    </w:p>
    <w:p>
      <w:pPr>
        <w:pStyle w:val="Normal"/>
        <w:numPr>
          <w:ilvl w:val="2"/>
          <w:numId w:val="14"/>
        </w:numPr>
        <w:spacing w:lineRule="auto" w:line="240" w:before="0" w:after="0"/>
        <w:ind w:left="284" w:hanging="284"/>
        <w:jc w:val="both"/>
        <w:rPr>
          <w:rFonts w:cs="Tahoma"/>
        </w:rPr>
      </w:pPr>
      <w:r>
        <w:rPr>
          <w:rFonts w:cs="Tahoma"/>
        </w:rPr>
        <w:t>Slipping / Tripping Hazards</w:t>
      </w:r>
    </w:p>
    <w:p>
      <w:pPr>
        <w:pStyle w:val="Normal"/>
        <w:numPr>
          <w:ilvl w:val="2"/>
          <w:numId w:val="14"/>
        </w:numPr>
        <w:spacing w:lineRule="auto" w:line="240" w:before="0" w:after="0"/>
        <w:ind w:left="284" w:hanging="284"/>
        <w:jc w:val="both"/>
        <w:rPr>
          <w:rFonts w:cs="Tahoma"/>
        </w:rPr>
      </w:pPr>
      <w:r>
        <w:rPr>
          <w:rFonts w:cs="Tahoma"/>
        </w:rPr>
        <w:t>Fire</w:t>
      </w:r>
    </w:p>
    <w:p>
      <w:pPr>
        <w:pStyle w:val="Normal"/>
        <w:numPr>
          <w:ilvl w:val="2"/>
          <w:numId w:val="14"/>
        </w:numPr>
        <w:spacing w:lineRule="auto" w:line="240" w:before="0" w:after="0"/>
        <w:ind w:left="284" w:hanging="284"/>
        <w:jc w:val="both"/>
        <w:rPr>
          <w:rFonts w:cs="Tahoma"/>
        </w:rPr>
      </w:pPr>
      <w:r>
        <w:rPr>
          <w:rFonts w:cs="Tahoma"/>
        </w:rPr>
        <w:t>Electricity</w:t>
      </w:r>
    </w:p>
    <w:p>
      <w:pPr>
        <w:pStyle w:val="Normal"/>
        <w:numPr>
          <w:ilvl w:val="2"/>
          <w:numId w:val="14"/>
        </w:numPr>
        <w:spacing w:lineRule="auto" w:line="240" w:before="0" w:after="0"/>
        <w:ind w:left="284" w:hanging="284"/>
        <w:jc w:val="both"/>
        <w:rPr>
          <w:rFonts w:cs="Tahoma"/>
        </w:rPr>
      </w:pPr>
      <w:r>
        <w:rPr>
          <w:rFonts w:cs="Tahoma"/>
        </w:rPr>
        <w:t>Poor housekeeping</w:t>
      </w:r>
    </w:p>
    <w:p>
      <w:pPr>
        <w:pStyle w:val="Normal"/>
        <w:spacing w:lineRule="auto" w:line="240" w:before="0" w:after="0"/>
        <w:ind w:left="284" w:hanging="0"/>
        <w:jc w:val="both"/>
        <w:rPr>
          <w:rFonts w:cs="Tahoma"/>
        </w:rPr>
      </w:pPr>
      <w:r>
        <w:rPr>
          <w:rFonts w:cs="Tahoma"/>
        </w:rPr>
      </w:r>
    </w:p>
    <w:p>
      <w:pPr>
        <w:pStyle w:val="Normal"/>
        <w:spacing w:lineRule="auto" w:line="240"/>
        <w:jc w:val="both"/>
        <w:rPr>
          <w:rFonts w:cs="Tahoma"/>
          <w:b/>
          <w:b/>
        </w:rPr>
      </w:pPr>
      <w:r>
        <w:rPr>
          <w:rFonts w:cs="Tahoma"/>
          <w:b/>
        </w:rPr>
        <w:t>Chemical Hazards</w:t>
      </w:r>
    </w:p>
    <w:p>
      <w:pPr>
        <w:pStyle w:val="Normal"/>
        <w:spacing w:lineRule="auto" w:line="240"/>
        <w:jc w:val="both"/>
        <w:rPr>
          <w:rFonts w:cs="Tahoma"/>
        </w:rPr>
      </w:pPr>
      <w:r>
        <w:rPr>
          <w:rFonts w:cs="Tahoma"/>
        </w:rPr>
        <w:t>In order to assess the risks, data will be required on the following:</w:t>
      </w:r>
    </w:p>
    <w:p>
      <w:pPr>
        <w:pStyle w:val="Normal"/>
        <w:numPr>
          <w:ilvl w:val="2"/>
          <w:numId w:val="15"/>
        </w:numPr>
        <w:spacing w:lineRule="auto" w:line="240" w:before="0" w:after="0"/>
        <w:ind w:left="284" w:hanging="284"/>
        <w:jc w:val="both"/>
        <w:rPr>
          <w:rFonts w:cs="Tahoma"/>
        </w:rPr>
      </w:pPr>
      <w:r>
        <w:rPr>
          <w:rFonts w:cs="Tahoma"/>
        </w:rPr>
        <w:t>Immediate problems – Acute Toxic effects;</w:t>
      </w:r>
    </w:p>
    <w:p>
      <w:pPr>
        <w:pStyle w:val="Normal"/>
        <w:numPr>
          <w:ilvl w:val="2"/>
          <w:numId w:val="15"/>
        </w:numPr>
        <w:spacing w:lineRule="auto" w:line="240" w:before="0" w:after="0"/>
        <w:ind w:left="284" w:hanging="284"/>
        <w:jc w:val="both"/>
        <w:rPr>
          <w:rFonts w:cs="Tahoma"/>
        </w:rPr>
      </w:pPr>
      <w:r>
        <w:rPr>
          <w:rFonts w:cs="Tahoma"/>
        </w:rPr>
        <w:t>Long-term effects exposure on health;</w:t>
      </w:r>
    </w:p>
    <w:p>
      <w:pPr>
        <w:pStyle w:val="Normal"/>
        <w:numPr>
          <w:ilvl w:val="2"/>
          <w:numId w:val="15"/>
        </w:numPr>
        <w:spacing w:lineRule="auto" w:line="240" w:before="0" w:after="0"/>
        <w:ind w:left="284" w:hanging="284"/>
        <w:jc w:val="both"/>
        <w:rPr>
          <w:rFonts w:cs="Tahoma"/>
        </w:rPr>
      </w:pPr>
      <w:r>
        <w:rPr>
          <w:rFonts w:cs="Tahoma"/>
        </w:rPr>
        <w:t>Likely hood of exposure;</w:t>
      </w:r>
    </w:p>
    <w:p>
      <w:pPr>
        <w:pStyle w:val="Normal"/>
        <w:numPr>
          <w:ilvl w:val="2"/>
          <w:numId w:val="15"/>
        </w:numPr>
        <w:spacing w:lineRule="auto" w:line="240" w:before="0" w:after="0"/>
        <w:ind w:left="284" w:hanging="284"/>
        <w:jc w:val="both"/>
        <w:rPr>
          <w:rFonts w:cs="Tahoma"/>
        </w:rPr>
      </w:pPr>
      <w:r>
        <w:rPr>
          <w:rFonts w:cs="Tahoma"/>
        </w:rPr>
        <w:t>Likely hood of skin problem and</w:t>
      </w:r>
    </w:p>
    <w:p>
      <w:pPr>
        <w:pStyle w:val="Normal"/>
        <w:numPr>
          <w:ilvl w:val="2"/>
          <w:numId w:val="15"/>
        </w:numPr>
        <w:spacing w:lineRule="auto" w:line="240" w:before="0" w:after="0"/>
        <w:ind w:left="284" w:hanging="284"/>
        <w:jc w:val="both"/>
        <w:rPr>
          <w:rFonts w:cs="Tahoma"/>
        </w:rPr>
      </w:pPr>
      <w:r>
        <w:rPr>
          <w:rFonts w:cs="Tahoma"/>
        </w:rPr>
        <w:t>Likely hood of chest problems respiratory irritation or sensitisation.</w:t>
      </w:r>
    </w:p>
    <w:p>
      <w:pPr>
        <w:pStyle w:val="Normal"/>
        <w:spacing w:lineRule="auto" w:line="240" w:before="0" w:after="0"/>
        <w:ind w:left="284" w:hanging="0"/>
        <w:jc w:val="both"/>
        <w:rPr>
          <w:rFonts w:cs="Tahoma"/>
        </w:rPr>
      </w:pPr>
      <w:r>
        <w:rPr>
          <w:rFonts w:cs="Tahoma"/>
        </w:rPr>
      </w:r>
    </w:p>
    <w:p>
      <w:pPr>
        <w:pStyle w:val="Normal"/>
        <w:spacing w:lineRule="auto" w:line="240" w:before="0" w:after="0"/>
        <w:ind w:left="284" w:hanging="0"/>
        <w:jc w:val="both"/>
        <w:rPr>
          <w:rFonts w:cs="Tahoma"/>
        </w:rPr>
      </w:pPr>
      <w:r>
        <w:rPr>
          <w:rFonts w:cs="Tahoma"/>
        </w:rPr>
      </w:r>
    </w:p>
    <w:p>
      <w:pPr>
        <w:pStyle w:val="Normal"/>
        <w:spacing w:lineRule="auto" w:line="240"/>
        <w:jc w:val="both"/>
        <w:rPr>
          <w:rFonts w:cs="Tahoma"/>
          <w:b/>
          <w:b/>
        </w:rPr>
      </w:pPr>
      <w:r>
        <w:rPr>
          <w:rFonts w:cs="Tahoma"/>
          <w:b/>
        </w:rPr>
        <w:t>Biological Hazards:</w:t>
      </w:r>
    </w:p>
    <w:p>
      <w:pPr>
        <w:pStyle w:val="Normal"/>
        <w:spacing w:lineRule="auto" w:line="240"/>
        <w:jc w:val="both"/>
        <w:rPr>
          <w:rFonts w:cs="Tahoma"/>
        </w:rPr>
      </w:pPr>
      <w:r>
        <w:rPr>
          <w:rFonts w:cs="Tahoma"/>
        </w:rPr>
        <w:t>These include needle stick injuries, exposure to contaminated bloods: Risks - TB, Hepatitis B, Hepatitis C, HIV and Rubella.</w:t>
      </w:r>
    </w:p>
    <w:p>
      <w:pPr>
        <w:pStyle w:val="Normal"/>
        <w:spacing w:lineRule="auto" w:line="240"/>
        <w:jc w:val="both"/>
        <w:rPr>
          <w:rFonts w:cs="Tahoma"/>
          <w:b/>
          <w:b/>
        </w:rPr>
      </w:pPr>
      <w:r>
        <w:rPr>
          <w:rFonts w:cs="Tahoma"/>
          <w:b/>
        </w:rPr>
        <w:t>Psychological Hazards:</w:t>
      </w:r>
    </w:p>
    <w:p>
      <w:pPr>
        <w:pStyle w:val="Normal"/>
        <w:spacing w:lineRule="auto" w:line="240"/>
        <w:jc w:val="both"/>
        <w:rPr>
          <w:rFonts w:cs="Tahoma"/>
        </w:rPr>
      </w:pPr>
      <w:r>
        <w:rPr>
          <w:rFonts w:cs="Tahoma"/>
        </w:rPr>
        <w:t xml:space="preserve">These include stress, bullying, harassment, inadequate training, inadequate supervision and long hours.  </w:t>
      </w:r>
    </w:p>
    <w:p>
      <w:pPr>
        <w:pStyle w:val="Heading2"/>
        <w:spacing w:lineRule="auto" w:line="240"/>
        <w:rPr>
          <w:rFonts w:ascii="Calibri" w:hAnsi="Calibri"/>
        </w:rPr>
      </w:pPr>
      <w:bookmarkStart w:id="15" w:name="_Toc244923559"/>
      <w:bookmarkEnd w:id="15"/>
      <w:r>
        <w:rPr>
          <w:rFonts w:ascii="Calibri" w:hAnsi="Calibri"/>
        </w:rPr>
        <w:t>6.2 Risk Assessment</w:t>
      </w:r>
    </w:p>
    <w:p>
      <w:pPr>
        <w:pStyle w:val="Normal"/>
        <w:spacing w:lineRule="auto" w:line="240"/>
        <w:jc w:val="both"/>
        <w:rPr>
          <w:rFonts w:cs="Tahoma"/>
        </w:rPr>
      </w:pPr>
      <w:r>
        <w:rPr>
          <w:rFonts w:cs="Tahoma"/>
        </w:rPr>
        <w:t>Risk assessment is essentially concerned with the estimated severity and likelihood of harm or risk occurring from identified hazards. Risk assessment is required under Section 19 of the Safety, Health &amp; Welfare at Work Act 2005, and section 20 which requires all workplaces to prepare a Safety Statement.</w:t>
      </w:r>
    </w:p>
    <w:p>
      <w:pPr>
        <w:pStyle w:val="Normal"/>
        <w:spacing w:lineRule="auto" w:line="240"/>
        <w:jc w:val="both"/>
        <w:rPr>
          <w:rFonts w:cs="Tahoma"/>
        </w:rPr>
      </w:pPr>
      <w:r>
        <w:rPr>
          <w:rFonts w:cs="Tahoma"/>
        </w:rPr>
        <w:t>The Safety Statement management programme is based on the identification of hazard and assessment of risks at work. Employers are required to be in the possession of an assessment in writing of the risks to health and safety and to ensure that the risks to health and safety of employees are periodically evaluated.</w:t>
      </w:r>
    </w:p>
    <w:p>
      <w:pPr>
        <w:pStyle w:val="Heading3"/>
        <w:rPr/>
      </w:pPr>
      <w:r>
        <w:rPr/>
        <w:t>6.2.1 Risk Estimation Technique</w:t>
      </w:r>
    </w:p>
    <w:p>
      <w:pPr>
        <w:pStyle w:val="Normal"/>
        <w:spacing w:lineRule="auto" w:line="240"/>
        <w:jc w:val="both"/>
        <w:rPr>
          <w:rFonts w:cs="Tahoma"/>
        </w:rPr>
      </w:pPr>
      <w:r>
        <w:rPr>
          <w:rFonts w:cs="Tahoma"/>
        </w:rPr>
        <w:t>There are various risk estimation techniques, which are available to calculate the risk involved. For the purpose of the risk assessments carried out in this statement both a qualitative and quantitative assessment will be used. Qualitative approach to Risk Assessment: The risk is characterised into High, Medium, Low, according to the characteristics it entails.</w:t>
      </w:r>
    </w:p>
    <w:p>
      <w:pPr>
        <w:pStyle w:val="Normal"/>
        <w:spacing w:lineRule="auto" w:line="240"/>
        <w:jc w:val="both"/>
        <w:rPr>
          <w:rFonts w:cs="Tahoma"/>
        </w:rPr>
      </w:pPr>
      <w:r>
        <w:rPr>
          <w:rFonts w:cs="Tahoma"/>
        </w:rPr>
        <w:t>The risk is High if there is a possibility of serious injury to a number of people and if there is a possibility of significant injury and material loss. Serious injuries include fatalities, amputations, serious diseases and paralysis. Significant injury includes moderate injury, damage or lacerations.</w:t>
      </w:r>
    </w:p>
    <w:p>
      <w:pPr>
        <w:pStyle w:val="Normal"/>
        <w:spacing w:lineRule="auto" w:line="240"/>
        <w:jc w:val="both"/>
        <w:rPr>
          <w:rFonts w:cs="Tahoma"/>
        </w:rPr>
      </w:pPr>
      <w:r>
        <w:rPr>
          <w:rFonts w:cs="Tahoma"/>
        </w:rPr>
        <w:t>The risk is characterised as Medium, if there is a possibility of minor injury to a number of people and if there is a risk of some material loss. The possibility of fatalities or serious injury or significant material loss is unlikely, although conceivable. Minor injuries include injuries such as cuts, abrasions and sprains. The risk is characterised as Low if there is a possibility of little injury to a small number of people of if the risk of material loss is low. The possibility of injury or material loss is unlikely, although conceivable.</w:t>
      </w:r>
    </w:p>
    <w:p>
      <w:pPr>
        <w:pStyle w:val="Normal"/>
        <w:spacing w:lineRule="auto" w:line="240"/>
        <w:jc w:val="both"/>
        <w:rPr>
          <w:rFonts w:cs="Tahoma"/>
        </w:rPr>
      </w:pPr>
      <w:r>
        <w:rPr>
          <w:rFonts w:cs="Tahoma"/>
        </w:rPr>
        <w:t>This risk estimation technique is used to bring together the hazard and risk assessments in the Safety Statement. After the risk assessment is carried out, the next step is to decide who might be harmed and how. Following this, control measures are required, in order to prevent the hazard from re-occurring, to eliminate it or substitute it as far as reasonably practicable. The final step is to record the findings.</w:t>
      </w:r>
    </w:p>
    <w:p>
      <w:pPr>
        <w:pStyle w:val="Normal"/>
        <w:spacing w:lineRule="auto" w:line="240"/>
        <w:jc w:val="both"/>
        <w:rPr>
          <w:rFonts w:cs="Tahoma"/>
        </w:rPr>
      </w:pPr>
      <w:r>
        <w:rPr>
          <w:rFonts w:cs="Tahoma"/>
        </w:rPr>
        <w:t>A hazard and risk assessment of the School buildings will be recorded for the safety statement. These risks will be recorded in the risk register. On-going risk assessments will be recorded on the appropriate Hazard and Risk Control Sheets. These sheets will contain the reference point, the hazard, the risk, the control measures, the date identified, the person responsible within the department, when the hazard is identified, and the date it is rectified.</w:t>
      </w:r>
    </w:p>
    <w:p>
      <w:pPr>
        <w:pStyle w:val="Normal"/>
        <w:spacing w:lineRule="auto" w:line="240"/>
        <w:jc w:val="both"/>
        <w:rPr>
          <w:rFonts w:cs="Tahoma"/>
        </w:rPr>
      </w:pPr>
      <w:r>
        <w:rPr>
          <w:rFonts w:cs="Tahoma"/>
        </w:rPr>
        <w:t>In addition a risk assessment process may be undertaken which is task related to the activities undertaken on site. Where appropriate both a qualitative and quantitative risk assessments will be carried out in order to clarify the level of risk obtained.</w:t>
      </w:r>
    </w:p>
    <w:p>
      <w:pPr>
        <w:pStyle w:val="Normal"/>
        <w:spacing w:lineRule="auto" w:line="240"/>
        <w:jc w:val="both"/>
        <w:rPr>
          <w:rFonts w:cs="Tahoma"/>
        </w:rPr>
      </w:pPr>
      <w:r>
        <w:rPr>
          <w:rFonts w:cs="Tahoma"/>
        </w:rPr>
        <w:t>A quantitative risk assessment will be carried out using the Hazard Rating Number System. The hazard rating number system takes into consideration the probability of exposure, the frequency of exposure, the number of persons at risk and the maximum possible loss. The Risk Assessment depends on the following circumstances:</w:t>
      </w:r>
    </w:p>
    <w:p>
      <w:pPr>
        <w:pStyle w:val="Normal"/>
        <w:numPr>
          <w:ilvl w:val="1"/>
          <w:numId w:val="16"/>
        </w:numPr>
        <w:spacing w:lineRule="auto" w:line="240" w:before="0" w:after="0"/>
        <w:ind w:left="284" w:hanging="284"/>
        <w:jc w:val="both"/>
        <w:rPr>
          <w:rFonts w:cs="Tahoma"/>
        </w:rPr>
      </w:pPr>
      <w:r>
        <w:rPr>
          <w:rFonts w:cs="Tahoma"/>
        </w:rPr>
        <w:t>Is anyone exposed to the hazard?</w:t>
      </w:r>
    </w:p>
    <w:p>
      <w:pPr>
        <w:pStyle w:val="Normal"/>
        <w:numPr>
          <w:ilvl w:val="1"/>
          <w:numId w:val="16"/>
        </w:numPr>
        <w:spacing w:lineRule="auto" w:line="240" w:before="0" w:after="0"/>
        <w:ind w:left="284" w:hanging="284"/>
        <w:jc w:val="both"/>
        <w:rPr>
          <w:rFonts w:cs="Tahoma"/>
        </w:rPr>
      </w:pPr>
      <w:r>
        <w:rPr>
          <w:rFonts w:cs="Tahoma"/>
        </w:rPr>
        <w:t>Is the hazard likely to cause injury?</w:t>
      </w:r>
    </w:p>
    <w:p>
      <w:pPr>
        <w:pStyle w:val="Normal"/>
        <w:numPr>
          <w:ilvl w:val="1"/>
          <w:numId w:val="16"/>
        </w:numPr>
        <w:spacing w:lineRule="auto" w:line="240" w:before="0" w:after="0"/>
        <w:ind w:left="284" w:hanging="284"/>
        <w:jc w:val="both"/>
        <w:rPr>
          <w:rFonts w:cs="Tahoma"/>
        </w:rPr>
      </w:pPr>
      <w:r>
        <w:rPr>
          <w:rFonts w:cs="Tahoma"/>
        </w:rPr>
        <w:t>How serious would the injury be?</w:t>
      </w:r>
    </w:p>
    <w:p>
      <w:pPr>
        <w:pStyle w:val="Normal"/>
        <w:numPr>
          <w:ilvl w:val="1"/>
          <w:numId w:val="16"/>
        </w:numPr>
        <w:spacing w:lineRule="auto" w:line="240" w:before="0" w:after="0"/>
        <w:ind w:left="284" w:hanging="284"/>
        <w:jc w:val="both"/>
        <w:rPr>
          <w:rFonts w:cs="Tahoma"/>
        </w:rPr>
      </w:pPr>
      <w:r>
        <w:rPr>
          <w:rFonts w:cs="Tahoma"/>
        </w:rPr>
        <w:t>Is the hazard well controlled?</w:t>
      </w:r>
    </w:p>
    <w:p>
      <w:pPr>
        <w:pStyle w:val="Normal"/>
        <w:numPr>
          <w:ilvl w:val="1"/>
          <w:numId w:val="16"/>
        </w:numPr>
        <w:spacing w:lineRule="auto" w:line="240" w:before="0" w:after="0"/>
        <w:ind w:left="284" w:hanging="284"/>
        <w:jc w:val="both"/>
        <w:rPr>
          <w:rFonts w:cs="Tahoma"/>
        </w:rPr>
      </w:pPr>
      <w:r>
        <w:rPr>
          <w:rFonts w:cs="Tahoma"/>
        </w:rPr>
        <w:t>Is the level of supervision adequate?</w:t>
      </w:r>
    </w:p>
    <w:p>
      <w:pPr>
        <w:pStyle w:val="Normal"/>
        <w:numPr>
          <w:ilvl w:val="1"/>
          <w:numId w:val="16"/>
        </w:numPr>
        <w:spacing w:lineRule="auto" w:line="240" w:before="0" w:after="0"/>
        <w:ind w:left="284" w:hanging="284"/>
        <w:jc w:val="both"/>
        <w:rPr>
          <w:rFonts w:cs="Tahoma"/>
        </w:rPr>
      </w:pPr>
      <w:r>
        <w:rPr>
          <w:rFonts w:cs="Tahoma"/>
        </w:rPr>
        <w:t>How long were people exposed and what are the levels of exposure that should not be exceeded? These levels apply to chemicals, temperature, noise and heavy loads.</w:t>
      </w:r>
    </w:p>
    <w:p>
      <w:pPr>
        <w:pStyle w:val="Heading2"/>
        <w:spacing w:lineRule="auto" w:line="240"/>
        <w:rPr>
          <w:rFonts w:ascii="Calibri" w:hAnsi="Calibri"/>
        </w:rPr>
      </w:pPr>
      <w:bookmarkStart w:id="16" w:name="_Toc244923560"/>
      <w:bookmarkEnd w:id="16"/>
      <w:r>
        <w:rPr>
          <w:rFonts w:ascii="Calibri" w:hAnsi="Calibri"/>
        </w:rPr>
        <w:t>6.3 Implementing Control Measures</w:t>
      </w:r>
    </w:p>
    <w:p>
      <w:pPr>
        <w:pStyle w:val="Normal"/>
        <w:spacing w:lineRule="auto" w:line="240" w:before="0" w:after="0"/>
        <w:rPr/>
      </w:pPr>
      <w:r>
        <w:rPr/>
      </w:r>
    </w:p>
    <w:p>
      <w:pPr>
        <w:pStyle w:val="Normal"/>
        <w:spacing w:lineRule="auto" w:line="240" w:before="0" w:after="0"/>
        <w:jc w:val="both"/>
        <w:rPr>
          <w:rFonts w:cs="Tahoma"/>
        </w:rPr>
      </w:pPr>
      <w:r>
        <w:rPr>
          <w:rFonts w:cs="Tahoma"/>
        </w:rPr>
        <w:t>Once one has identified the hazards and assessed the risks, one must identify the precautions, if any, to be taken against the hazard listed.</w:t>
      </w:r>
    </w:p>
    <w:p>
      <w:pPr>
        <w:pStyle w:val="Normal"/>
        <w:spacing w:lineRule="auto" w:line="240"/>
        <w:jc w:val="both"/>
        <w:rPr>
          <w:rFonts w:cs="Tahoma"/>
        </w:rPr>
      </w:pPr>
      <w:r>
        <w:rPr>
          <w:rFonts w:cs="Tahoma"/>
        </w:rPr>
        <w:t>In order to identify control measures one must look to see if the School has provided:</w:t>
      </w:r>
    </w:p>
    <w:p>
      <w:pPr>
        <w:pStyle w:val="Normal"/>
        <w:numPr>
          <w:ilvl w:val="1"/>
          <w:numId w:val="17"/>
        </w:numPr>
        <w:spacing w:lineRule="auto" w:line="240" w:before="0" w:after="0"/>
        <w:ind w:left="284" w:hanging="284"/>
        <w:jc w:val="both"/>
        <w:rPr>
          <w:rFonts w:cs="Tahoma"/>
        </w:rPr>
      </w:pPr>
      <w:r>
        <w:rPr>
          <w:rFonts w:cs="Tahoma"/>
        </w:rPr>
        <w:t>Adequate information, instruction or training.</w:t>
      </w:r>
    </w:p>
    <w:p>
      <w:pPr>
        <w:pStyle w:val="Normal"/>
        <w:numPr>
          <w:ilvl w:val="1"/>
          <w:numId w:val="17"/>
        </w:numPr>
        <w:spacing w:lineRule="auto" w:line="240" w:before="0" w:after="0"/>
        <w:ind w:left="284" w:hanging="284"/>
        <w:jc w:val="both"/>
        <w:rPr>
          <w:rFonts w:cs="Tahoma"/>
        </w:rPr>
      </w:pPr>
      <w:r>
        <w:rPr>
          <w:rFonts w:cs="Tahoma"/>
        </w:rPr>
        <w:t>If adequate systems and procedures are in place.</w:t>
      </w:r>
    </w:p>
    <w:p>
      <w:pPr>
        <w:pStyle w:val="Normal"/>
        <w:numPr>
          <w:ilvl w:val="1"/>
          <w:numId w:val="17"/>
        </w:numPr>
        <w:spacing w:lineRule="auto" w:line="240" w:before="0" w:after="0"/>
        <w:ind w:left="284" w:hanging="284"/>
        <w:jc w:val="both"/>
        <w:rPr>
          <w:rFonts w:cs="Tahoma"/>
        </w:rPr>
      </w:pPr>
      <w:r>
        <w:rPr>
          <w:rFonts w:cs="Tahoma"/>
        </w:rPr>
        <w:t>Check whether hazard meets the standards set by the legal requirements.</w:t>
      </w:r>
    </w:p>
    <w:p>
      <w:pPr>
        <w:pStyle w:val="Normal"/>
        <w:numPr>
          <w:ilvl w:val="1"/>
          <w:numId w:val="17"/>
        </w:numPr>
        <w:spacing w:lineRule="auto" w:line="240" w:before="0" w:after="0"/>
        <w:ind w:left="284" w:hanging="284"/>
        <w:jc w:val="both"/>
        <w:rPr>
          <w:rFonts w:cs="Tahoma"/>
        </w:rPr>
      </w:pPr>
      <w:r>
        <w:rPr>
          <w:rFonts w:cs="Tahoma"/>
        </w:rPr>
        <w:t>Check whether precautions comply with the recognised industry standard.</w:t>
      </w:r>
    </w:p>
    <w:p>
      <w:pPr>
        <w:pStyle w:val="Normal"/>
        <w:numPr>
          <w:ilvl w:val="1"/>
          <w:numId w:val="17"/>
        </w:numPr>
        <w:spacing w:lineRule="auto" w:line="240" w:before="0" w:after="0"/>
        <w:ind w:left="284" w:hanging="284"/>
        <w:jc w:val="both"/>
        <w:rPr>
          <w:rFonts w:cs="Tahoma"/>
        </w:rPr>
      </w:pPr>
      <w:r>
        <w:rPr>
          <w:rFonts w:cs="Tahoma"/>
        </w:rPr>
        <w:t>Check whether precautions represent good practice.</w:t>
      </w:r>
    </w:p>
    <w:p>
      <w:pPr>
        <w:pStyle w:val="Normal"/>
        <w:numPr>
          <w:ilvl w:val="1"/>
          <w:numId w:val="17"/>
        </w:numPr>
        <w:spacing w:lineRule="auto" w:line="240" w:before="0" w:after="0"/>
        <w:ind w:left="284" w:hanging="284"/>
        <w:jc w:val="both"/>
        <w:rPr>
          <w:rFonts w:cs="Tahoma"/>
        </w:rPr>
      </w:pPr>
      <w:r>
        <w:rPr>
          <w:rFonts w:cs="Tahoma"/>
        </w:rPr>
        <w:t>Check whether precautions reduce risk as far as is reasonable practicable.</w:t>
      </w:r>
    </w:p>
    <w:p>
      <w:pPr>
        <w:pStyle w:val="Normal"/>
        <w:spacing w:lineRule="auto" w:line="240" w:before="0" w:after="0"/>
        <w:ind w:left="1440" w:hanging="0"/>
        <w:jc w:val="both"/>
        <w:rPr>
          <w:rFonts w:cs="Tahoma"/>
        </w:rPr>
      </w:pPr>
      <w:r>
        <w:rPr>
          <w:rFonts w:cs="Tahoma"/>
        </w:rPr>
      </w:r>
    </w:p>
    <w:p>
      <w:pPr>
        <w:pStyle w:val="Normal"/>
        <w:spacing w:lineRule="auto" w:line="240" w:before="0" w:after="0"/>
        <w:jc w:val="both"/>
        <w:rPr>
          <w:rFonts w:cs="Tahoma"/>
        </w:rPr>
      </w:pPr>
      <w:r>
        <w:rPr>
          <w:rFonts w:cs="Tahoma"/>
        </w:rPr>
        <w:t>If these measures are in place the risks are adequately controlled and the precautions in place must be indicated. If the risks are not adequately controlled, the following principles may apply in taking further action to reduce the risks.</w:t>
      </w:r>
    </w:p>
    <w:p>
      <w:pPr>
        <w:pStyle w:val="Normal"/>
        <w:spacing w:lineRule="auto" w:line="240" w:before="0" w:after="0"/>
        <w:jc w:val="both"/>
        <w:rPr>
          <w:rFonts w:cs="Tahoma"/>
        </w:rPr>
      </w:pPr>
      <w:r>
        <w:rPr>
          <w:rFonts w:cs="Tahoma"/>
        </w:rPr>
      </w:r>
    </w:p>
    <w:p>
      <w:pPr>
        <w:pStyle w:val="Normal"/>
        <w:spacing w:lineRule="auto" w:line="240"/>
        <w:jc w:val="both"/>
        <w:rPr>
          <w:rFonts w:cs="Tahoma"/>
        </w:rPr>
      </w:pPr>
      <w:r>
        <w:rPr>
          <w:rFonts w:cs="Tahoma"/>
        </w:rPr>
        <w:t>Controls may include:</w:t>
      </w:r>
    </w:p>
    <w:p>
      <w:pPr>
        <w:pStyle w:val="Normal"/>
        <w:numPr>
          <w:ilvl w:val="0"/>
          <w:numId w:val="18"/>
        </w:numPr>
        <w:tabs>
          <w:tab w:val="left" w:pos="284" w:leader="none"/>
        </w:tabs>
        <w:spacing w:lineRule="auto" w:line="240" w:before="0" w:after="0"/>
        <w:ind w:left="284" w:hanging="284"/>
        <w:jc w:val="both"/>
        <w:rPr>
          <w:rFonts w:cs="Tahoma"/>
        </w:rPr>
      </w:pPr>
      <w:r>
        <w:rPr>
          <w:rFonts w:cs="Tahoma"/>
        </w:rPr>
        <w:t>Remove the risk completely;</w:t>
      </w:r>
    </w:p>
    <w:p>
      <w:pPr>
        <w:pStyle w:val="Normal"/>
        <w:numPr>
          <w:ilvl w:val="0"/>
          <w:numId w:val="18"/>
        </w:numPr>
        <w:tabs>
          <w:tab w:val="left" w:pos="284" w:leader="none"/>
        </w:tabs>
        <w:spacing w:lineRule="auto" w:line="240" w:before="0" w:after="0"/>
        <w:ind w:left="284" w:hanging="284"/>
        <w:jc w:val="both"/>
        <w:rPr>
          <w:rFonts w:cs="Tahoma"/>
        </w:rPr>
      </w:pPr>
      <w:r>
        <w:rPr>
          <w:rFonts w:cs="Tahoma"/>
        </w:rPr>
        <w:t>Substitute – try a less risky option;</w:t>
      </w:r>
    </w:p>
    <w:p>
      <w:pPr>
        <w:pStyle w:val="Normal"/>
        <w:numPr>
          <w:ilvl w:val="0"/>
          <w:numId w:val="18"/>
        </w:numPr>
        <w:tabs>
          <w:tab w:val="left" w:pos="284" w:leader="none"/>
        </w:tabs>
        <w:spacing w:lineRule="auto" w:line="240" w:before="0" w:after="0"/>
        <w:ind w:left="284" w:hanging="284"/>
        <w:jc w:val="both"/>
        <w:rPr>
          <w:rFonts w:cs="Tahoma"/>
        </w:rPr>
      </w:pPr>
      <w:r>
        <w:rPr>
          <w:rFonts w:cs="Tahoma"/>
        </w:rPr>
        <w:t>Organise work to reduce exposure to the hazard;</w:t>
      </w:r>
    </w:p>
    <w:p>
      <w:pPr>
        <w:pStyle w:val="Normal"/>
        <w:numPr>
          <w:ilvl w:val="0"/>
          <w:numId w:val="18"/>
        </w:numPr>
        <w:tabs>
          <w:tab w:val="left" w:pos="284" w:leader="none"/>
        </w:tabs>
        <w:spacing w:lineRule="auto" w:line="240" w:before="0" w:after="0"/>
        <w:ind w:left="284" w:hanging="284"/>
        <w:jc w:val="both"/>
        <w:rPr>
          <w:rFonts w:cs="Tahoma"/>
        </w:rPr>
      </w:pPr>
      <w:r>
        <w:rPr>
          <w:rFonts w:cs="Tahoma"/>
        </w:rPr>
        <w:t>Apply engineering controls or safety measures to reduce the risk. This will include machine guards, isolating the enclosure of the hazard, local exhaust ventilation and mechanical handling methods;</w:t>
      </w:r>
    </w:p>
    <w:p>
      <w:pPr>
        <w:pStyle w:val="Normal"/>
        <w:numPr>
          <w:ilvl w:val="0"/>
          <w:numId w:val="18"/>
        </w:numPr>
        <w:tabs>
          <w:tab w:val="left" w:pos="284" w:leader="none"/>
        </w:tabs>
        <w:spacing w:lineRule="auto" w:line="240" w:before="0" w:after="0"/>
        <w:ind w:left="284" w:hanging="284"/>
        <w:jc w:val="both"/>
        <w:rPr>
          <w:rFonts w:cs="Tahoma"/>
        </w:rPr>
      </w:pPr>
      <w:r>
        <w:rPr>
          <w:rFonts w:cs="Tahoma"/>
        </w:rPr>
        <w:t>Administrative controls which reduce or eliminate exposure to the hazard by adherence to procedures or instructions. These will include supervision and permit to work;</w:t>
      </w:r>
    </w:p>
    <w:p>
      <w:pPr>
        <w:pStyle w:val="Normal"/>
        <w:numPr>
          <w:ilvl w:val="0"/>
          <w:numId w:val="18"/>
        </w:numPr>
        <w:tabs>
          <w:tab w:val="left" w:pos="284" w:leader="none"/>
        </w:tabs>
        <w:spacing w:lineRule="auto" w:line="240" w:before="0" w:after="0"/>
        <w:ind w:left="284" w:hanging="284"/>
        <w:jc w:val="both"/>
        <w:rPr>
          <w:rFonts w:cs="Tahoma"/>
        </w:rPr>
      </w:pPr>
      <w:r>
        <w:rPr>
          <w:rFonts w:cs="Tahoma"/>
        </w:rPr>
        <w:t>Provide adequate welfare facilities;</w:t>
      </w:r>
    </w:p>
    <w:p>
      <w:pPr>
        <w:pStyle w:val="Normal"/>
        <w:numPr>
          <w:ilvl w:val="0"/>
          <w:numId w:val="18"/>
        </w:numPr>
        <w:tabs>
          <w:tab w:val="left" w:pos="284" w:leader="none"/>
        </w:tabs>
        <w:spacing w:lineRule="auto" w:line="240" w:before="0" w:after="0"/>
        <w:ind w:left="284" w:hanging="284"/>
        <w:jc w:val="both"/>
        <w:rPr>
          <w:rFonts w:cs="Tahoma"/>
        </w:rPr>
      </w:pPr>
      <w:r>
        <w:rPr>
          <w:rFonts w:cs="Tahoma"/>
        </w:rPr>
        <w:t>Ensuring a clean and tidy workplace ;</w:t>
      </w:r>
    </w:p>
    <w:p>
      <w:pPr>
        <w:pStyle w:val="Normal"/>
        <w:numPr>
          <w:ilvl w:val="0"/>
          <w:numId w:val="18"/>
        </w:numPr>
        <w:tabs>
          <w:tab w:val="left" w:pos="284" w:leader="none"/>
        </w:tabs>
        <w:spacing w:lineRule="auto" w:line="240" w:before="0" w:after="0"/>
        <w:ind w:left="284" w:hanging="284"/>
        <w:jc w:val="both"/>
        <w:rPr>
          <w:rFonts w:cs="Tahoma"/>
        </w:rPr>
      </w:pPr>
      <w:r>
        <w:rPr>
          <w:rFonts w:cs="Tahoma"/>
        </w:rPr>
        <w:t>Providing an adequate health surveillance programme and</w:t>
      </w:r>
    </w:p>
    <w:p>
      <w:pPr>
        <w:pStyle w:val="Normal"/>
        <w:numPr>
          <w:ilvl w:val="0"/>
          <w:numId w:val="18"/>
        </w:numPr>
        <w:tabs>
          <w:tab w:val="left" w:pos="284" w:leader="none"/>
        </w:tabs>
        <w:spacing w:lineRule="auto" w:line="240" w:before="0" w:after="0"/>
        <w:ind w:left="284" w:hanging="284"/>
        <w:jc w:val="both"/>
        <w:rPr>
          <w:rFonts w:cs="Tahoma"/>
        </w:rPr>
      </w:pPr>
      <w:r>
        <w:rPr>
          <w:rFonts w:cs="Tahoma"/>
        </w:rPr>
        <w:t>Issue of personal protective equipment and appropriate training in the use of selection of PPE.</w:t>
      </w:r>
    </w:p>
    <w:p>
      <w:pPr>
        <w:pStyle w:val="Normal"/>
        <w:tabs>
          <w:tab w:val="left" w:pos="567" w:leader="none"/>
        </w:tabs>
        <w:spacing w:lineRule="auto" w:line="240" w:before="0" w:after="0"/>
        <w:jc w:val="both"/>
        <w:rPr>
          <w:rFonts w:cs="Tahoma"/>
        </w:rPr>
      </w:pPr>
      <w:r>
        <w:rPr>
          <w:rFonts w:cs="Tahoma"/>
        </w:rPr>
      </w:r>
    </w:p>
    <w:p>
      <w:pPr>
        <w:pStyle w:val="Heading3"/>
        <w:rPr/>
      </w:pPr>
      <w:r>
        <w:rPr/>
        <w:t>6.3.1 Control Measures</w:t>
      </w:r>
    </w:p>
    <w:p>
      <w:pPr>
        <w:pStyle w:val="Normal"/>
        <w:spacing w:lineRule="auto" w:line="240"/>
        <w:rPr>
          <w:rFonts w:cs="Tahoma"/>
        </w:rPr>
      </w:pPr>
      <w:r>
        <w:rPr>
          <w:rFonts w:cs="Tahoma"/>
        </w:rPr>
      </w:r>
    </w:p>
    <w:p>
      <w:pPr>
        <w:pStyle w:val="Normal"/>
        <w:spacing w:lineRule="auto" w:line="240"/>
        <w:jc w:val="both"/>
        <w:rPr>
          <w:rFonts w:cs="Tahoma"/>
        </w:rPr>
      </w:pPr>
      <w:r>
        <w:rPr>
          <w:rFonts w:cs="Tahoma"/>
        </w:rPr>
        <w:t>Control measures in accordance with the Third Schedule of the Safety, Health &amp; Welfare at Work Act 2005 include the following:</w:t>
      </w:r>
    </w:p>
    <w:p>
      <w:pPr>
        <w:pStyle w:val="Normal"/>
        <w:numPr>
          <w:ilvl w:val="2"/>
          <w:numId w:val="19"/>
        </w:numPr>
        <w:spacing w:lineRule="auto" w:line="240" w:before="0" w:after="0"/>
        <w:ind w:left="284" w:hanging="284"/>
        <w:jc w:val="both"/>
        <w:rPr>
          <w:rFonts w:cs="Tahoma"/>
        </w:rPr>
      </w:pPr>
      <w:r>
        <w:rPr>
          <w:rFonts w:cs="Tahoma"/>
        </w:rPr>
        <w:t>The avoidance of risks as far as practicable.</w:t>
      </w:r>
    </w:p>
    <w:p>
      <w:pPr>
        <w:pStyle w:val="Normal"/>
        <w:numPr>
          <w:ilvl w:val="2"/>
          <w:numId w:val="19"/>
        </w:numPr>
        <w:spacing w:lineRule="auto" w:line="240" w:before="0" w:after="0"/>
        <w:ind w:left="284" w:hanging="284"/>
        <w:jc w:val="both"/>
        <w:rPr>
          <w:rFonts w:cs="Tahoma"/>
        </w:rPr>
      </w:pPr>
      <w:r>
        <w:rPr>
          <w:rFonts w:cs="Tahoma"/>
        </w:rPr>
        <w:t>The evaluation of unavoidable risks.</w:t>
      </w:r>
    </w:p>
    <w:p>
      <w:pPr>
        <w:pStyle w:val="Normal"/>
        <w:numPr>
          <w:ilvl w:val="2"/>
          <w:numId w:val="19"/>
        </w:numPr>
        <w:spacing w:lineRule="auto" w:line="240" w:before="0" w:after="0"/>
        <w:ind w:left="284" w:hanging="284"/>
        <w:jc w:val="both"/>
        <w:rPr>
          <w:rFonts w:cs="Tahoma"/>
        </w:rPr>
      </w:pPr>
      <w:r>
        <w:rPr>
          <w:rFonts w:cs="Tahoma"/>
        </w:rPr>
        <w:t>The combating of risks at source.</w:t>
      </w:r>
    </w:p>
    <w:p>
      <w:pPr>
        <w:pStyle w:val="Normal"/>
        <w:numPr>
          <w:ilvl w:val="2"/>
          <w:numId w:val="19"/>
        </w:numPr>
        <w:spacing w:lineRule="auto" w:line="240" w:before="0" w:after="0"/>
        <w:ind w:left="284" w:hanging="284"/>
        <w:jc w:val="both"/>
        <w:rPr>
          <w:rFonts w:cs="Tahoma"/>
        </w:rPr>
      </w:pPr>
      <w:r>
        <w:rPr>
          <w:rFonts w:cs="Tahoma"/>
        </w:rPr>
        <w:t>The adaptation of work to the individual, especially as regards the design of places of work, the choice of work equipment and the choice of systems of work, with a view, in particular, to alleviating monotonous work and work at a predetermined work rate and to reducing the effect of this work on health.</w:t>
      </w:r>
    </w:p>
    <w:p>
      <w:pPr>
        <w:pStyle w:val="Normal"/>
        <w:numPr>
          <w:ilvl w:val="2"/>
          <w:numId w:val="19"/>
        </w:numPr>
        <w:spacing w:lineRule="auto" w:line="240" w:before="0" w:after="0"/>
        <w:ind w:left="284" w:hanging="284"/>
        <w:jc w:val="both"/>
        <w:rPr>
          <w:rFonts w:cs="Tahoma"/>
        </w:rPr>
      </w:pPr>
      <w:r>
        <w:rPr>
          <w:rFonts w:cs="Tahoma"/>
        </w:rPr>
        <w:t>The adaptation of the place of work to technical progress.</w:t>
      </w:r>
    </w:p>
    <w:p>
      <w:pPr>
        <w:pStyle w:val="Normal"/>
        <w:numPr>
          <w:ilvl w:val="2"/>
          <w:numId w:val="19"/>
        </w:numPr>
        <w:spacing w:lineRule="auto" w:line="240" w:before="0" w:after="0"/>
        <w:ind w:left="284" w:hanging="284"/>
        <w:jc w:val="both"/>
        <w:rPr>
          <w:rFonts w:cs="Tahoma"/>
        </w:rPr>
      </w:pPr>
      <w:r>
        <w:rPr>
          <w:rFonts w:cs="Tahoma"/>
        </w:rPr>
        <w:t>The replacement of dangerous articles, substances or systems of work by safe or less dangerous articles, substances or systems of work.</w:t>
      </w:r>
    </w:p>
    <w:p>
      <w:pPr>
        <w:pStyle w:val="Normal"/>
        <w:numPr>
          <w:ilvl w:val="2"/>
          <w:numId w:val="19"/>
        </w:numPr>
        <w:spacing w:lineRule="auto" w:line="240" w:before="0" w:after="0"/>
        <w:ind w:left="284" w:hanging="284"/>
        <w:jc w:val="both"/>
        <w:rPr>
          <w:rFonts w:cs="Tahoma"/>
        </w:rPr>
      </w:pPr>
      <w:r>
        <w:rPr>
          <w:rFonts w:cs="Tahoma"/>
        </w:rPr>
        <w:t>The giving of priority to collective protective measures over individual protective measures.</w:t>
      </w:r>
    </w:p>
    <w:p>
      <w:pPr>
        <w:pStyle w:val="Normal"/>
        <w:numPr>
          <w:ilvl w:val="2"/>
          <w:numId w:val="19"/>
        </w:numPr>
        <w:spacing w:lineRule="auto" w:line="240" w:before="0" w:after="0"/>
        <w:ind w:left="284" w:hanging="284"/>
        <w:jc w:val="both"/>
        <w:rPr>
          <w:rFonts w:cs="Tahoma"/>
        </w:rPr>
      </w:pPr>
      <w:r>
        <w:rPr>
          <w:rFonts w:cs="Tahoma"/>
        </w:rPr>
        <w:t>The development of an adequate prevention policy in relation to safety, health and welfare at work, which takes account of technology, organisation of work, working conditions, social factors and the influence of factors related to the working environment.</w:t>
      </w:r>
    </w:p>
    <w:p>
      <w:pPr>
        <w:pStyle w:val="Normal"/>
        <w:numPr>
          <w:ilvl w:val="2"/>
          <w:numId w:val="19"/>
        </w:numPr>
        <w:spacing w:lineRule="auto" w:line="240" w:before="0" w:after="0"/>
        <w:ind w:left="284" w:hanging="284"/>
        <w:jc w:val="both"/>
        <w:rPr>
          <w:rFonts w:cs="Tahoma"/>
        </w:rPr>
      </w:pPr>
      <w:r>
        <w:rPr>
          <w:rFonts w:cs="Tahoma"/>
        </w:rPr>
        <w:t>The giving of appropriate training and instructions to employees.</w:t>
      </w:r>
    </w:p>
    <w:p>
      <w:pPr>
        <w:pStyle w:val="Normal"/>
        <w:spacing w:lineRule="auto" w:line="240" w:before="0" w:after="0"/>
        <w:ind w:left="720" w:hanging="0"/>
        <w:jc w:val="both"/>
        <w:rPr>
          <w:rFonts w:cs="Tahoma"/>
        </w:rPr>
      </w:pPr>
      <w:r>
        <w:rPr>
          <w:rFonts w:cs="Tahoma"/>
        </w:rPr>
      </w:r>
    </w:p>
    <w:p>
      <w:pPr>
        <w:pStyle w:val="Heading3"/>
        <w:rPr/>
      </w:pPr>
      <w:r>
        <w:rPr/>
        <w:t>6.3.2 Basic Personal Precautions and Procedures</w:t>
      </w:r>
    </w:p>
    <w:p>
      <w:pPr>
        <w:pStyle w:val="Heading4"/>
        <w:spacing w:lineRule="auto" w:line="240"/>
        <w:rPr>
          <w:rFonts w:ascii="Calibri" w:hAnsi="Calibri" w:cs="Tahoma"/>
        </w:rPr>
      </w:pPr>
      <w:r>
        <w:rPr>
          <w:rFonts w:cs="Tahoma" w:ascii="Calibri" w:hAnsi="Calibri"/>
        </w:rPr>
        <w:t>6.3.2.1 General Behaviour of Personnel</w:t>
      </w:r>
    </w:p>
    <w:p>
      <w:pPr>
        <w:pStyle w:val="Normal"/>
        <w:spacing w:lineRule="auto" w:line="240"/>
        <w:jc w:val="both"/>
        <w:rPr>
          <w:rFonts w:cs="Tahoma"/>
        </w:rPr>
      </w:pPr>
      <w:r>
        <w:rPr>
          <w:rFonts w:cs="Tahoma"/>
        </w:rPr>
        <w:t>Personnel should deport themselves in a manner unlikely to be prejudicial to their own safety and/or the safety of others.</w:t>
      </w:r>
    </w:p>
    <w:p>
      <w:pPr>
        <w:pStyle w:val="Heading4"/>
        <w:spacing w:lineRule="auto" w:line="240"/>
        <w:rPr>
          <w:rFonts w:ascii="Calibri" w:hAnsi="Calibri" w:cs="Tahoma"/>
        </w:rPr>
      </w:pPr>
      <w:r>
        <w:rPr>
          <w:rFonts w:cs="Tahoma" w:ascii="Calibri" w:hAnsi="Calibri"/>
        </w:rPr>
        <w:t>6.3.2.2 General Safety Rules</w:t>
      </w:r>
    </w:p>
    <w:p>
      <w:pPr>
        <w:pStyle w:val="Normal"/>
        <w:spacing w:lineRule="auto" w:line="240"/>
        <w:jc w:val="both"/>
        <w:rPr>
          <w:rFonts w:cs="Tahoma"/>
        </w:rPr>
      </w:pPr>
      <w:r>
        <w:rPr>
          <w:rFonts w:cs="Tahoma"/>
        </w:rPr>
        <w:t>In the interest of the health, safety and environment of all employees, visitors and contractors are required to comply with the following General Safety Rules.</w:t>
      </w:r>
    </w:p>
    <w:p>
      <w:pPr>
        <w:pStyle w:val="Normal"/>
        <w:numPr>
          <w:ilvl w:val="0"/>
          <w:numId w:val="45"/>
        </w:numPr>
        <w:spacing w:lineRule="auto" w:line="240" w:before="0" w:after="0"/>
        <w:ind w:left="426" w:hanging="426"/>
        <w:jc w:val="both"/>
        <w:rPr>
          <w:rFonts w:cs="Tahoma"/>
        </w:rPr>
      </w:pPr>
      <w:r>
        <w:rPr>
          <w:rFonts w:cs="Tahoma"/>
        </w:rPr>
        <w:t>Assist in achieving and maintaining a safer place, everyone must comply with all safety requirements.</w:t>
      </w:r>
    </w:p>
    <w:p>
      <w:pPr>
        <w:pStyle w:val="Normal"/>
        <w:numPr>
          <w:ilvl w:val="0"/>
          <w:numId w:val="45"/>
        </w:numPr>
        <w:spacing w:lineRule="auto" w:line="240" w:before="0" w:after="0"/>
        <w:ind w:left="426" w:hanging="426"/>
        <w:jc w:val="both"/>
        <w:rPr>
          <w:rFonts w:cs="Tahoma"/>
        </w:rPr>
      </w:pPr>
      <w:r>
        <w:rPr>
          <w:rFonts w:cs="Tahoma"/>
        </w:rPr>
        <w:t xml:space="preserve">Fire prevention and safety equipment must not be damaged or interfered with and must always be accessible. </w:t>
      </w:r>
    </w:p>
    <w:p>
      <w:pPr>
        <w:pStyle w:val="Normal"/>
        <w:numPr>
          <w:ilvl w:val="0"/>
          <w:numId w:val="45"/>
        </w:numPr>
        <w:spacing w:lineRule="auto" w:line="240" w:before="0" w:after="0"/>
        <w:ind w:left="426" w:hanging="426"/>
        <w:jc w:val="both"/>
        <w:rPr>
          <w:rFonts w:cs="Tahoma"/>
        </w:rPr>
      </w:pPr>
      <w:r>
        <w:rPr>
          <w:rFonts w:cs="Tahoma"/>
        </w:rPr>
        <w:t>Emergency exits must be kept clear and free of obstruction.</w:t>
      </w:r>
    </w:p>
    <w:p>
      <w:pPr>
        <w:pStyle w:val="Normal"/>
        <w:numPr>
          <w:ilvl w:val="0"/>
          <w:numId w:val="45"/>
        </w:numPr>
        <w:spacing w:lineRule="auto" w:line="240" w:before="0" w:after="0"/>
        <w:ind w:left="426" w:hanging="426"/>
        <w:jc w:val="both"/>
        <w:rPr>
          <w:rFonts w:cs="Tahoma"/>
        </w:rPr>
      </w:pPr>
      <w:r>
        <w:rPr>
          <w:rFonts w:cs="Tahoma"/>
        </w:rPr>
        <w:t>Do not place obstructions in passageways.</w:t>
      </w:r>
    </w:p>
    <w:p>
      <w:pPr>
        <w:pStyle w:val="Normal"/>
        <w:numPr>
          <w:ilvl w:val="0"/>
          <w:numId w:val="45"/>
        </w:numPr>
        <w:spacing w:lineRule="auto" w:line="240" w:before="0" w:after="0"/>
        <w:ind w:left="426" w:hanging="426"/>
        <w:jc w:val="both"/>
        <w:rPr>
          <w:rFonts w:cs="Tahoma"/>
        </w:rPr>
      </w:pPr>
      <w:r>
        <w:rPr>
          <w:rFonts w:cs="Tahoma"/>
        </w:rPr>
        <w:t>Goods must be stored in designated storage areas</w:t>
      </w:r>
    </w:p>
    <w:p>
      <w:pPr>
        <w:pStyle w:val="Normal"/>
        <w:numPr>
          <w:ilvl w:val="0"/>
          <w:numId w:val="45"/>
        </w:numPr>
        <w:spacing w:lineRule="auto" w:line="240" w:before="0" w:after="0"/>
        <w:ind w:left="426" w:hanging="426"/>
        <w:jc w:val="both"/>
        <w:rPr>
          <w:rFonts w:cs="Tahoma"/>
        </w:rPr>
      </w:pPr>
      <w:r>
        <w:rPr>
          <w:rFonts w:cs="Tahoma"/>
        </w:rPr>
        <w:t xml:space="preserve">Rubbish must not be allowed to accumulate. </w:t>
      </w:r>
    </w:p>
    <w:p>
      <w:pPr>
        <w:pStyle w:val="Normal"/>
        <w:numPr>
          <w:ilvl w:val="0"/>
          <w:numId w:val="45"/>
        </w:numPr>
        <w:spacing w:lineRule="auto" w:line="240" w:before="0" w:after="0"/>
        <w:ind w:left="426" w:hanging="426"/>
        <w:jc w:val="both"/>
        <w:rPr>
          <w:rFonts w:cs="Tahoma"/>
        </w:rPr>
      </w:pPr>
      <w:r>
        <w:rPr>
          <w:rFonts w:cs="Tahoma"/>
        </w:rPr>
        <w:t>Combustible rubbish should be stored in non-combustible bins and as far as possible be emptied daily.</w:t>
      </w:r>
    </w:p>
    <w:p>
      <w:pPr>
        <w:pStyle w:val="Normal"/>
        <w:numPr>
          <w:ilvl w:val="0"/>
          <w:numId w:val="45"/>
        </w:numPr>
        <w:spacing w:lineRule="auto" w:line="240" w:before="0" w:after="0"/>
        <w:ind w:left="426" w:hanging="426"/>
        <w:jc w:val="both"/>
        <w:rPr>
          <w:rFonts w:cs="Tahoma"/>
        </w:rPr>
      </w:pPr>
      <w:r>
        <w:rPr>
          <w:rFonts w:cs="Tahoma"/>
        </w:rPr>
        <w:t>Cables of telephones and portable electrical appliances must be placed where they do not cause people to trip and/or fall.</w:t>
      </w:r>
    </w:p>
    <w:p>
      <w:pPr>
        <w:pStyle w:val="Normal"/>
        <w:numPr>
          <w:ilvl w:val="0"/>
          <w:numId w:val="45"/>
        </w:numPr>
        <w:spacing w:lineRule="auto" w:line="240" w:before="0" w:after="0"/>
        <w:ind w:left="426" w:hanging="426"/>
        <w:jc w:val="both"/>
        <w:rPr>
          <w:rFonts w:cs="Tahoma"/>
        </w:rPr>
      </w:pPr>
      <w:r>
        <w:rPr>
          <w:rFonts w:cs="Tahoma"/>
        </w:rPr>
        <w:t>Where procedures or School rules require personal protective equipment, it must be worn.</w:t>
      </w:r>
    </w:p>
    <w:p>
      <w:pPr>
        <w:pStyle w:val="Normal"/>
        <w:numPr>
          <w:ilvl w:val="0"/>
          <w:numId w:val="45"/>
        </w:numPr>
        <w:spacing w:lineRule="auto" w:line="240" w:before="0" w:after="0"/>
        <w:ind w:left="426" w:hanging="426"/>
        <w:jc w:val="both"/>
        <w:rPr>
          <w:rFonts w:cs="Tahoma"/>
        </w:rPr>
      </w:pPr>
      <w:r>
        <w:rPr>
          <w:rFonts w:cs="Tahoma"/>
        </w:rPr>
        <w:t>All injuries, dangerous occurrences, near misses, unsafe acts, unsafe conditions, unsafe equipment and unsafe procedures must be reported to the Principal.</w:t>
      </w:r>
    </w:p>
    <w:p>
      <w:pPr>
        <w:pStyle w:val="Normal"/>
        <w:numPr>
          <w:ilvl w:val="0"/>
          <w:numId w:val="45"/>
        </w:numPr>
        <w:spacing w:lineRule="auto" w:line="240" w:before="0" w:after="0"/>
        <w:ind w:left="426" w:hanging="426"/>
        <w:jc w:val="both"/>
        <w:rPr>
          <w:rFonts w:cs="Tahoma"/>
        </w:rPr>
      </w:pPr>
      <w:r>
        <w:rPr>
          <w:rFonts w:cs="Tahoma"/>
        </w:rPr>
        <w:t>Everyone has the responsibility to maintain his or her work area and that will include housekeeping as part of his or her job.</w:t>
      </w:r>
    </w:p>
    <w:p>
      <w:pPr>
        <w:pStyle w:val="Normal"/>
        <w:numPr>
          <w:ilvl w:val="0"/>
          <w:numId w:val="45"/>
        </w:numPr>
        <w:spacing w:lineRule="auto" w:line="240" w:before="0" w:after="0"/>
        <w:ind w:left="426" w:hanging="426"/>
        <w:jc w:val="both"/>
        <w:rPr>
          <w:rFonts w:cs="Tahoma"/>
        </w:rPr>
      </w:pPr>
      <w:r>
        <w:rPr>
          <w:rFonts w:cs="Tahoma"/>
        </w:rPr>
        <w:t>All employees are required to familiarise themselves with the School emergency evacuation plan and are required to attend annual fire lectures.</w:t>
      </w:r>
    </w:p>
    <w:p>
      <w:pPr>
        <w:pStyle w:val="Normal"/>
        <w:numPr>
          <w:ilvl w:val="0"/>
          <w:numId w:val="45"/>
        </w:numPr>
        <w:spacing w:lineRule="auto" w:line="240" w:before="0" w:after="0"/>
        <w:ind w:left="426" w:hanging="426"/>
        <w:jc w:val="both"/>
        <w:rPr>
          <w:rFonts w:cs="Tahoma"/>
        </w:rPr>
      </w:pPr>
      <w:r>
        <w:rPr>
          <w:rFonts w:cs="Tahoma"/>
        </w:rPr>
        <w:t>Do not handle ‘found’ needle sticks or contaminated blood hazards without appropriate personal protective equipment.</w:t>
      </w:r>
    </w:p>
    <w:p>
      <w:pPr>
        <w:pStyle w:val="Normal"/>
        <w:numPr>
          <w:ilvl w:val="0"/>
          <w:numId w:val="45"/>
        </w:numPr>
        <w:spacing w:lineRule="auto" w:line="240" w:before="0" w:after="0"/>
        <w:ind w:left="426" w:hanging="426"/>
        <w:jc w:val="both"/>
        <w:rPr>
          <w:rFonts w:cs="Tahoma"/>
        </w:rPr>
      </w:pPr>
      <w:r>
        <w:rPr>
          <w:rFonts w:cs="Tahoma"/>
        </w:rPr>
        <w:t>‘</w:t>
      </w:r>
      <w:r>
        <w:rPr>
          <w:rFonts w:cs="Tahoma"/>
        </w:rPr>
        <w:t>Dignity at Work’ policy must be strictly adhered to by all employees.</w:t>
      </w:r>
    </w:p>
    <w:p>
      <w:pPr>
        <w:pStyle w:val="Normal"/>
        <w:numPr>
          <w:ilvl w:val="0"/>
          <w:numId w:val="45"/>
        </w:numPr>
        <w:shd w:val="clear" w:color="auto" w:fill="FFFFFF"/>
        <w:spacing w:lineRule="auto" w:line="240" w:before="0" w:after="0"/>
        <w:ind w:left="426" w:hanging="426"/>
        <w:jc w:val="both"/>
        <w:rPr>
          <w:rFonts w:cs="Tahoma"/>
        </w:rPr>
      </w:pPr>
      <w:r>
        <w:rPr>
          <w:rFonts w:cs="Tahoma"/>
        </w:rPr>
        <w:t>Lone workers (Off site) must ensure that they abide by the best available practices.</w:t>
      </w:r>
    </w:p>
    <w:p>
      <w:pPr>
        <w:pStyle w:val="Normal"/>
        <w:numPr>
          <w:ilvl w:val="0"/>
          <w:numId w:val="45"/>
        </w:numPr>
        <w:spacing w:lineRule="auto" w:line="240" w:before="0" w:after="0"/>
        <w:ind w:left="426" w:hanging="426"/>
        <w:jc w:val="both"/>
        <w:rPr>
          <w:rFonts w:cs="Tahoma"/>
        </w:rPr>
      </w:pPr>
      <w:r>
        <w:rPr>
          <w:rFonts w:cs="Tahoma"/>
        </w:rPr>
        <w:t>Only authorised employees may enter restricted areas such as Roof tops, provisions for access to heights, Engineering areas and oil storage areas. ‘Authorised Persons Only’ signs must be obeyed.</w:t>
      </w:r>
    </w:p>
    <w:p>
      <w:pPr>
        <w:pStyle w:val="Normal"/>
        <w:numPr>
          <w:ilvl w:val="0"/>
          <w:numId w:val="45"/>
        </w:numPr>
        <w:spacing w:lineRule="auto" w:line="240" w:before="0" w:after="0"/>
        <w:ind w:left="426" w:hanging="426"/>
        <w:jc w:val="both"/>
        <w:rPr>
          <w:rFonts w:cs="Tahoma"/>
        </w:rPr>
      </w:pPr>
      <w:r>
        <w:rPr>
          <w:rFonts w:cs="Tahoma"/>
        </w:rPr>
        <w:t>All staff must adhere to all School safety, health and welfare policies, guidelines and procedures.</w:t>
      </w:r>
    </w:p>
    <w:p>
      <w:pPr>
        <w:pStyle w:val="Normal"/>
        <w:numPr>
          <w:ilvl w:val="0"/>
          <w:numId w:val="45"/>
        </w:numPr>
        <w:spacing w:lineRule="auto" w:line="240" w:before="0" w:after="0"/>
        <w:ind w:left="426" w:hanging="426"/>
        <w:jc w:val="both"/>
        <w:rPr>
          <w:rFonts w:cs="Tahoma"/>
        </w:rPr>
      </w:pPr>
      <w:r>
        <w:rPr>
          <w:rFonts w:cs="Tahoma"/>
        </w:rPr>
        <w:t>All doors must be opened/closed in a controlled manner to prevent accidental injury to third party. Do not use leg/foot to open or close a door.</w:t>
      </w:r>
    </w:p>
    <w:p>
      <w:pPr>
        <w:pStyle w:val="Normal"/>
        <w:numPr>
          <w:ilvl w:val="0"/>
          <w:numId w:val="45"/>
        </w:numPr>
        <w:spacing w:lineRule="auto" w:line="240" w:before="0" w:after="0"/>
        <w:ind w:left="426" w:hanging="426"/>
        <w:jc w:val="both"/>
        <w:rPr>
          <w:rFonts w:cs="Tahoma"/>
        </w:rPr>
      </w:pPr>
      <w:r>
        <w:rPr>
          <w:rFonts w:cs="Tahoma"/>
        </w:rPr>
        <w:t>Employees affected by VDUs and workstations must follow occupational guidelines for Ergonomic best practice for all employees.</w:t>
      </w:r>
    </w:p>
    <w:p>
      <w:pPr>
        <w:pStyle w:val="Normal"/>
        <w:numPr>
          <w:ilvl w:val="0"/>
          <w:numId w:val="45"/>
        </w:numPr>
        <w:spacing w:lineRule="auto" w:line="240" w:before="0" w:after="0"/>
        <w:ind w:left="426" w:hanging="426"/>
        <w:jc w:val="both"/>
        <w:rPr>
          <w:rFonts w:cs="Tahoma"/>
        </w:rPr>
      </w:pPr>
      <w:r>
        <w:rPr>
          <w:rFonts w:cs="Tahoma"/>
        </w:rPr>
        <w:t>All spillages must be cleaned up immediately and/or the area restricted until the hazard has been removed.</w:t>
      </w:r>
    </w:p>
    <w:p>
      <w:pPr>
        <w:pStyle w:val="Normal"/>
        <w:numPr>
          <w:ilvl w:val="0"/>
          <w:numId w:val="45"/>
        </w:numPr>
        <w:spacing w:lineRule="auto" w:line="240" w:before="0" w:after="0"/>
        <w:ind w:left="426" w:hanging="426"/>
        <w:jc w:val="both"/>
        <w:rPr>
          <w:rFonts w:cs="Tahoma"/>
        </w:rPr>
      </w:pPr>
      <w:r>
        <w:rPr>
          <w:rFonts w:cs="Tahoma"/>
        </w:rPr>
        <w:t>Safety signs and notices must not be interfered with and must be obeyed.</w:t>
      </w:r>
    </w:p>
    <w:p>
      <w:pPr>
        <w:pStyle w:val="Heading4"/>
        <w:spacing w:lineRule="auto" w:line="240" w:before="0" w:after="0"/>
        <w:rPr>
          <w:rFonts w:ascii="Calibri" w:hAnsi="Calibri" w:cs="Tahoma"/>
        </w:rPr>
      </w:pPr>
      <w:r>
        <w:rPr>
          <w:rFonts w:cs="Tahoma" w:ascii="Calibri" w:hAnsi="Calibri"/>
        </w:rPr>
        <w:t>6.3.2.3 Safe Place of Work</w:t>
      </w:r>
    </w:p>
    <w:p>
      <w:pPr>
        <w:pStyle w:val="Normal"/>
        <w:spacing w:lineRule="auto" w:line="240"/>
        <w:jc w:val="both"/>
        <w:rPr>
          <w:rFonts w:cs="Tahoma"/>
        </w:rPr>
      </w:pPr>
      <w:r>
        <w:rPr>
          <w:color w:val="000000"/>
          <w:sz w:val="24"/>
          <w:szCs w:val="24"/>
        </w:rPr>
        <w:t xml:space="preserve">Togher Boys’ </w:t>
      </w:r>
      <w:r>
        <w:rPr>
          <w:rFonts w:cs="Tahoma"/>
        </w:rPr>
        <w:t>National School ensures that the physical environment of the place of work is as far as is reasonably practicable safe and without risk to health.</w:t>
      </w:r>
    </w:p>
    <w:p>
      <w:pPr>
        <w:pStyle w:val="Normal"/>
        <w:spacing w:lineRule="auto" w:line="240"/>
        <w:jc w:val="both"/>
        <w:rPr>
          <w:rFonts w:cs="Tahoma"/>
        </w:rPr>
      </w:pPr>
      <w:r>
        <w:rPr>
          <w:rFonts w:cs="Tahoma"/>
        </w:rPr>
        <w:t>All access and egress to work must be kept clear. This includes entrances and exits to the school grounds and premises. All staff are requested to take responsibility to maintain safe access and egress from respective areas.</w:t>
      </w:r>
    </w:p>
    <w:p>
      <w:pPr>
        <w:pStyle w:val="Heading4"/>
        <w:spacing w:lineRule="auto" w:line="240"/>
        <w:rPr>
          <w:rFonts w:ascii="Calibri" w:hAnsi="Calibri" w:cs="Tahoma"/>
        </w:rPr>
      </w:pPr>
      <w:r>
        <w:rPr>
          <w:rFonts w:cs="Tahoma" w:ascii="Calibri" w:hAnsi="Calibri"/>
        </w:rPr>
        <w:t>6.3.2.4 Safe Use of Equipment/Machinery</w:t>
      </w:r>
    </w:p>
    <w:p>
      <w:pPr>
        <w:pStyle w:val="Normal"/>
        <w:spacing w:lineRule="auto" w:line="240"/>
        <w:jc w:val="both"/>
        <w:rPr>
          <w:rFonts w:cs="Tahoma"/>
        </w:rPr>
      </w:pPr>
      <w:r>
        <w:rPr>
          <w:rFonts w:cs="Tahoma"/>
        </w:rPr>
        <w:t xml:space="preserve">The School Facilities /Maintenance contractors  are responsible for most School plant or equipment and   IT contractors are responsible for ‘administration’ equipment (phones, faxes and photocopiers).  </w:t>
      </w:r>
    </w:p>
    <w:p>
      <w:pPr>
        <w:pStyle w:val="Normal"/>
        <w:spacing w:lineRule="auto" w:line="240"/>
        <w:jc w:val="both"/>
        <w:rPr>
          <w:rFonts w:cs="Tahoma"/>
        </w:rPr>
      </w:pPr>
      <w:r>
        <w:rPr>
          <w:rFonts w:cs="Tahoma"/>
        </w:rPr>
        <w:t xml:space="preserve">The Health and Safety Advisor requests that only a competent person carries out repairs, modifications, maintenance and servicing in the school. The School Facilities /Maintenance contractors are also responsible for providing competent persons to carry out hazardous works.  </w:t>
      </w:r>
    </w:p>
    <w:p>
      <w:pPr>
        <w:pStyle w:val="Normal"/>
        <w:spacing w:lineRule="auto" w:line="240"/>
        <w:jc w:val="both"/>
        <w:rPr>
          <w:rFonts w:cs="Tahoma"/>
        </w:rPr>
      </w:pPr>
      <w:r>
        <w:rPr>
          <w:rFonts w:cs="Tahoma"/>
        </w:rPr>
        <w:t>All equipment present, where necessary, will have control devices for starting and stopping. Guards will be present on equipment where there is a risk from contact. These guards must not be removed.</w:t>
      </w:r>
    </w:p>
    <w:p>
      <w:pPr>
        <w:pStyle w:val="Normal"/>
        <w:spacing w:lineRule="auto" w:line="240"/>
        <w:jc w:val="both"/>
        <w:rPr>
          <w:rFonts w:cs="Tahoma"/>
        </w:rPr>
      </w:pPr>
      <w:r>
        <w:rPr>
          <w:rFonts w:cs="Tahoma"/>
        </w:rPr>
        <w:t>New equipment will be CE marked and comply with all relevant safety standards.</w:t>
      </w:r>
    </w:p>
    <w:p>
      <w:pPr>
        <w:pStyle w:val="Normal"/>
        <w:spacing w:lineRule="auto" w:line="240"/>
        <w:jc w:val="both"/>
        <w:rPr>
          <w:rFonts w:cs="Tahoma"/>
        </w:rPr>
      </w:pPr>
      <w:r>
        <w:rPr>
          <w:rFonts w:cs="Tahoma"/>
        </w:rPr>
        <w:t>A permit to work system will control operations for all cutting and welding works, working at heights, working with Asbestos, working in Confined Space and Electrical work. All contractors coming onsite must commit in writing to maintain a safe place of work whilst on School grounds.</w:t>
      </w:r>
    </w:p>
    <w:p>
      <w:pPr>
        <w:pStyle w:val="Heading3"/>
        <w:shd w:val="clear" w:color="auto" w:fill="FFFFFF"/>
        <w:rPr/>
      </w:pPr>
      <w:r>
        <w:rPr/>
        <w:t>6.3.3 Manual Handling</w:t>
      </w:r>
    </w:p>
    <w:p>
      <w:pPr>
        <w:pStyle w:val="Normal"/>
        <w:shd w:val="clear" w:color="auto" w:fill="FFFFFF"/>
        <w:spacing w:lineRule="auto" w:line="240"/>
        <w:jc w:val="both"/>
        <w:rPr>
          <w:rFonts w:cs="Tahoma"/>
        </w:rPr>
      </w:pPr>
      <w:r>
        <w:rPr>
          <w:rFonts w:cs="Tahoma"/>
        </w:rPr>
        <w:t>Manual Handling can be defined as a means of transporting or supporting a load by one or more employees and includes lifting, putting down, pushing, pulling, carrying or moving a load, which, by reason of its characteristics or unfavourable ergonomic condition involves the risk of injury, particularly of back injury to employees.</w:t>
      </w:r>
    </w:p>
    <w:p>
      <w:pPr>
        <w:pStyle w:val="Normal"/>
        <w:shd w:val="clear" w:color="auto" w:fill="FFFFFF"/>
        <w:spacing w:lineRule="auto" w:line="240"/>
        <w:jc w:val="both"/>
        <w:rPr>
          <w:rFonts w:cs="Tahoma"/>
        </w:rPr>
      </w:pPr>
      <w:r>
        <w:rPr>
          <w:rFonts w:cs="Tahoma"/>
        </w:rPr>
        <w:t>The legal obligations are set out in Chapter 4 of the Safety, Health &amp; Welfare at Work General Application Regulations 2007 (S.I. No. 299 of 2007). All those who handle students are covered by the Manual Handling Provisions Regulations 68 &amp; 69 of the General Applications Regulations 2007.</w:t>
      </w:r>
    </w:p>
    <w:p>
      <w:pPr>
        <w:pStyle w:val="Normal"/>
        <w:shd w:val="clear" w:color="auto" w:fill="FFFFFF"/>
        <w:spacing w:lineRule="auto" w:line="240"/>
        <w:jc w:val="both"/>
        <w:rPr>
          <w:rFonts w:cs="Tahoma"/>
        </w:rPr>
      </w:pPr>
      <w:r>
        <w:rPr>
          <w:rFonts w:cs="Tahoma"/>
        </w:rPr>
        <w:t>The work must be organised so that manual handling of loads is avoided wherever possible. This will involve assessing the condition of the type of work involved, taking care to avoid or reduce the risk were possible. Where manual handling is unavoidable, the work must be planned and equipment provided to reduce the risks.</w:t>
      </w:r>
    </w:p>
    <w:p>
      <w:pPr>
        <w:pStyle w:val="Normal"/>
        <w:spacing w:lineRule="auto" w:line="240"/>
        <w:jc w:val="both"/>
        <w:rPr>
          <w:rFonts w:cs="Tahoma"/>
        </w:rPr>
      </w:pPr>
      <w:r>
        <w:rPr>
          <w:rFonts w:cs="Tahoma"/>
        </w:rPr>
        <w:t>Manual handling activities must be assessed to identify the risks involved, which enable safe solutions to be put into action. In carrying out the risk assessment, the task, characteristics of the load, the working environment, individual capacity, physical effort and requirements of the activity must be taken into consideration.</w:t>
      </w:r>
    </w:p>
    <w:p>
      <w:pPr>
        <w:pStyle w:val="Normal"/>
        <w:spacing w:lineRule="auto" w:line="240"/>
        <w:jc w:val="both"/>
        <w:rPr>
          <w:rFonts w:cs="Tahoma"/>
        </w:rPr>
      </w:pPr>
      <w:r>
        <w:rPr>
          <w:rFonts w:cs="Tahoma"/>
        </w:rPr>
        <w:t>The principles for prevention of injury in relation to manual handling are:</w:t>
      </w:r>
    </w:p>
    <w:p>
      <w:pPr>
        <w:pStyle w:val="Normal"/>
        <w:numPr>
          <w:ilvl w:val="1"/>
          <w:numId w:val="21"/>
        </w:numPr>
        <w:spacing w:lineRule="auto" w:line="240" w:before="0" w:after="0"/>
        <w:ind w:left="284" w:hanging="284"/>
        <w:jc w:val="both"/>
        <w:rPr>
          <w:rFonts w:cs="Tahoma"/>
        </w:rPr>
      </w:pPr>
      <w:r>
        <w:rPr>
          <w:rFonts w:cs="Tahoma"/>
        </w:rPr>
        <w:t>Elimination of manual handling where possible;</w:t>
      </w:r>
    </w:p>
    <w:p>
      <w:pPr>
        <w:pStyle w:val="Normal"/>
        <w:numPr>
          <w:ilvl w:val="1"/>
          <w:numId w:val="21"/>
        </w:numPr>
        <w:spacing w:lineRule="auto" w:line="240" w:before="0" w:after="0"/>
        <w:ind w:left="284" w:hanging="284"/>
        <w:jc w:val="both"/>
        <w:rPr>
          <w:rFonts w:cs="Tahoma"/>
        </w:rPr>
      </w:pPr>
      <w:r>
        <w:rPr>
          <w:rFonts w:cs="Tahoma"/>
        </w:rPr>
        <w:t>Assessing remaining risks, and</w:t>
      </w:r>
    </w:p>
    <w:p>
      <w:pPr>
        <w:pStyle w:val="Normal"/>
        <w:numPr>
          <w:ilvl w:val="1"/>
          <w:numId w:val="21"/>
        </w:numPr>
        <w:spacing w:lineRule="auto" w:line="240" w:before="0" w:after="0"/>
        <w:ind w:left="284" w:hanging="284"/>
        <w:jc w:val="both"/>
        <w:rPr>
          <w:rFonts w:cs="Tahoma"/>
        </w:rPr>
      </w:pPr>
      <w:r>
        <w:rPr>
          <w:rFonts w:cs="Tahoma"/>
        </w:rPr>
        <w:t>Applying control measures to reduce the risk.</w:t>
      </w:r>
    </w:p>
    <w:p>
      <w:pPr>
        <w:pStyle w:val="Normal"/>
        <w:spacing w:lineRule="auto" w:line="240" w:before="0" w:after="0"/>
        <w:ind w:left="284" w:hanging="0"/>
        <w:jc w:val="both"/>
        <w:rPr>
          <w:rFonts w:cs="Tahoma"/>
        </w:rPr>
      </w:pPr>
      <w:r>
        <w:rPr>
          <w:rFonts w:cs="Tahoma"/>
        </w:rPr>
      </w:r>
    </w:p>
    <w:p>
      <w:pPr>
        <w:pStyle w:val="Normal"/>
        <w:spacing w:lineRule="auto" w:line="240" w:before="0" w:after="0"/>
        <w:jc w:val="both"/>
        <w:rPr>
          <w:rFonts w:cs="Tahoma"/>
        </w:rPr>
      </w:pPr>
      <w:r>
        <w:rPr>
          <w:rFonts w:cs="Tahoma"/>
        </w:rPr>
        <w:t>All employees will receive manual handling training relevant to their job. Refresher training will take place regularly or where the activity of the job changes.</w:t>
      </w:r>
    </w:p>
    <w:p>
      <w:pPr>
        <w:pStyle w:val="Normal"/>
        <w:spacing w:lineRule="auto" w:line="240" w:before="0" w:after="0"/>
        <w:jc w:val="both"/>
        <w:rPr>
          <w:rFonts w:cs="Tahoma"/>
        </w:rPr>
      </w:pPr>
      <w:r>
        <w:rPr>
          <w:rFonts w:cs="Tahoma"/>
        </w:rPr>
      </w:r>
    </w:p>
    <w:p>
      <w:pPr>
        <w:pStyle w:val="Normal"/>
        <w:spacing w:lineRule="auto" w:line="240"/>
        <w:jc w:val="both"/>
        <w:rPr>
          <w:rFonts w:cs="Tahoma"/>
        </w:rPr>
      </w:pPr>
      <w:r>
        <w:rPr>
          <w:rFonts w:cs="Tahoma"/>
        </w:rPr>
        <w:t>The principles of manual handling are:</w:t>
      </w:r>
    </w:p>
    <w:p>
      <w:pPr>
        <w:pStyle w:val="Normal"/>
        <w:numPr>
          <w:ilvl w:val="0"/>
          <w:numId w:val="20"/>
        </w:numPr>
        <w:tabs>
          <w:tab w:val="left" w:pos="284" w:leader="none"/>
        </w:tabs>
        <w:spacing w:lineRule="auto" w:line="240" w:before="0" w:after="0"/>
        <w:ind w:left="284" w:hanging="284"/>
        <w:jc w:val="both"/>
        <w:rPr>
          <w:szCs w:val="32"/>
        </w:rPr>
      </w:pPr>
      <w:r>
        <w:rPr>
          <w:szCs w:val="32"/>
        </w:rPr>
        <w:t>Think before you lift (TILE)</w:t>
      </w:r>
    </w:p>
    <w:p>
      <w:pPr>
        <w:pStyle w:val="Normal"/>
        <w:numPr>
          <w:ilvl w:val="0"/>
          <w:numId w:val="20"/>
        </w:numPr>
        <w:tabs>
          <w:tab w:val="left" w:pos="284" w:leader="none"/>
        </w:tabs>
        <w:spacing w:lineRule="auto" w:line="240" w:before="0" w:after="0"/>
        <w:ind w:left="284" w:hanging="284"/>
        <w:jc w:val="both"/>
        <w:rPr>
          <w:szCs w:val="32"/>
        </w:rPr>
      </w:pPr>
      <w:r>
        <w:rPr>
          <w:szCs w:val="32"/>
        </w:rPr>
        <w:t>Don’t lift or handle more than you can easily manage</w:t>
      </w:r>
    </w:p>
    <w:p>
      <w:pPr>
        <w:pStyle w:val="Normal"/>
        <w:numPr>
          <w:ilvl w:val="0"/>
          <w:numId w:val="20"/>
        </w:numPr>
        <w:tabs>
          <w:tab w:val="left" w:pos="284" w:leader="none"/>
        </w:tabs>
        <w:spacing w:lineRule="auto" w:line="240" w:before="0" w:after="0"/>
        <w:ind w:left="284" w:hanging="284"/>
        <w:jc w:val="both"/>
        <w:rPr>
          <w:szCs w:val="32"/>
        </w:rPr>
      </w:pPr>
      <w:r>
        <w:rPr>
          <w:szCs w:val="32"/>
        </w:rPr>
        <w:t>Adopt a stable position</w:t>
      </w:r>
    </w:p>
    <w:p>
      <w:pPr>
        <w:pStyle w:val="Normal"/>
        <w:numPr>
          <w:ilvl w:val="0"/>
          <w:numId w:val="20"/>
        </w:numPr>
        <w:tabs>
          <w:tab w:val="left" w:pos="284" w:leader="none"/>
        </w:tabs>
        <w:spacing w:lineRule="auto" w:line="240" w:before="0" w:after="0"/>
        <w:ind w:left="284" w:hanging="284"/>
        <w:jc w:val="both"/>
        <w:rPr>
          <w:szCs w:val="32"/>
        </w:rPr>
      </w:pPr>
      <w:r>
        <w:rPr>
          <w:szCs w:val="32"/>
        </w:rPr>
        <w:t>Ensure a good hold on the load</w:t>
      </w:r>
    </w:p>
    <w:p>
      <w:pPr>
        <w:pStyle w:val="Normal"/>
        <w:numPr>
          <w:ilvl w:val="0"/>
          <w:numId w:val="20"/>
        </w:numPr>
        <w:tabs>
          <w:tab w:val="left" w:pos="284" w:leader="none"/>
        </w:tabs>
        <w:spacing w:lineRule="auto" w:line="240" w:before="0" w:after="0"/>
        <w:ind w:left="284" w:hanging="284"/>
        <w:jc w:val="both"/>
        <w:rPr>
          <w:szCs w:val="32"/>
        </w:rPr>
      </w:pPr>
      <w:r>
        <w:rPr>
          <w:szCs w:val="32"/>
        </w:rPr>
        <w:t>At the start of the lift, moderate flexion (slight bending) of the back, hips and knees is preferable to fully flexing the back (stooping), hips and knees (squatting)</w:t>
      </w:r>
    </w:p>
    <w:p>
      <w:pPr>
        <w:pStyle w:val="Normal"/>
        <w:numPr>
          <w:ilvl w:val="0"/>
          <w:numId w:val="20"/>
        </w:numPr>
        <w:tabs>
          <w:tab w:val="left" w:pos="284" w:leader="none"/>
        </w:tabs>
        <w:spacing w:lineRule="auto" w:line="240" w:before="0" w:after="0"/>
        <w:ind w:left="284" w:hanging="284"/>
        <w:jc w:val="both"/>
        <w:rPr>
          <w:szCs w:val="32"/>
        </w:rPr>
      </w:pPr>
      <w:r>
        <w:rPr>
          <w:szCs w:val="32"/>
        </w:rPr>
        <w:t>Keep the load close to your waist</w:t>
      </w:r>
    </w:p>
    <w:p>
      <w:pPr>
        <w:pStyle w:val="Normal"/>
        <w:numPr>
          <w:ilvl w:val="0"/>
          <w:numId w:val="20"/>
        </w:numPr>
        <w:tabs>
          <w:tab w:val="left" w:pos="284" w:leader="none"/>
        </w:tabs>
        <w:spacing w:lineRule="auto" w:line="240" w:before="0" w:after="0"/>
        <w:ind w:left="284" w:hanging="284"/>
        <w:jc w:val="both"/>
        <w:rPr>
          <w:szCs w:val="32"/>
        </w:rPr>
      </w:pPr>
      <w:r>
        <w:rPr>
          <w:szCs w:val="32"/>
        </w:rPr>
        <w:t>Don’t flex the spine any further as you lift</w:t>
      </w:r>
    </w:p>
    <w:p>
      <w:pPr>
        <w:pStyle w:val="Normal"/>
        <w:numPr>
          <w:ilvl w:val="0"/>
          <w:numId w:val="20"/>
        </w:numPr>
        <w:tabs>
          <w:tab w:val="left" w:pos="284" w:leader="none"/>
        </w:tabs>
        <w:spacing w:lineRule="auto" w:line="240" w:before="0" w:after="0"/>
        <w:ind w:left="284" w:hanging="284"/>
        <w:jc w:val="both"/>
        <w:rPr>
          <w:szCs w:val="32"/>
        </w:rPr>
      </w:pPr>
      <w:r>
        <w:rPr>
          <w:szCs w:val="32"/>
        </w:rPr>
        <w:t>Avoid twisting the trunk or leaning sideways, especially while the back is bent</w:t>
      </w:r>
    </w:p>
    <w:p>
      <w:pPr>
        <w:pStyle w:val="Normal"/>
        <w:numPr>
          <w:ilvl w:val="0"/>
          <w:numId w:val="20"/>
        </w:numPr>
        <w:tabs>
          <w:tab w:val="left" w:pos="284" w:leader="none"/>
        </w:tabs>
        <w:spacing w:lineRule="auto" w:line="240" w:before="0" w:after="0"/>
        <w:ind w:left="284" w:hanging="284"/>
        <w:jc w:val="both"/>
        <w:rPr>
          <w:szCs w:val="32"/>
        </w:rPr>
      </w:pPr>
      <w:r>
        <w:rPr>
          <w:szCs w:val="32"/>
        </w:rPr>
        <w:t>Keep your head up when handling</w:t>
      </w:r>
    </w:p>
    <w:p>
      <w:pPr>
        <w:pStyle w:val="Normal"/>
        <w:numPr>
          <w:ilvl w:val="0"/>
          <w:numId w:val="20"/>
        </w:numPr>
        <w:tabs>
          <w:tab w:val="left" w:pos="284" w:leader="none"/>
        </w:tabs>
        <w:spacing w:lineRule="auto" w:line="240" w:before="0" w:after="0"/>
        <w:ind w:left="284" w:hanging="284"/>
        <w:jc w:val="both"/>
        <w:rPr>
          <w:szCs w:val="32"/>
        </w:rPr>
      </w:pPr>
      <w:r>
        <w:rPr>
          <w:szCs w:val="32"/>
        </w:rPr>
        <w:t>Move smoothly</w:t>
      </w:r>
    </w:p>
    <w:p>
      <w:pPr>
        <w:pStyle w:val="Normal"/>
        <w:numPr>
          <w:ilvl w:val="0"/>
          <w:numId w:val="20"/>
        </w:numPr>
        <w:tabs>
          <w:tab w:val="left" w:pos="284" w:leader="none"/>
        </w:tabs>
        <w:spacing w:lineRule="auto" w:line="240" w:before="0" w:after="0"/>
        <w:ind w:left="284" w:hanging="284"/>
        <w:jc w:val="both"/>
        <w:rPr>
          <w:szCs w:val="32"/>
        </w:rPr>
      </w:pPr>
      <w:r>
        <w:rPr>
          <w:szCs w:val="32"/>
        </w:rPr>
        <w:t xml:space="preserve">Put down, then adjust </w:t>
      </w:r>
    </w:p>
    <w:p>
      <w:pPr>
        <w:pStyle w:val="Normal"/>
        <w:spacing w:lineRule="auto" w:line="240"/>
        <w:ind w:left="1440" w:hanging="0"/>
        <w:jc w:val="both"/>
        <w:rPr>
          <w:rFonts w:cs="Tahoma"/>
        </w:rPr>
      </w:pPr>
      <w:r>
        <w:rPr>
          <w:rFonts w:cs="Tahoma"/>
        </w:rPr>
      </w:r>
    </w:p>
    <w:p>
      <w:pPr>
        <w:pStyle w:val="Normal"/>
        <w:spacing w:lineRule="auto" w:line="240"/>
        <w:jc w:val="both"/>
        <w:rPr>
          <w:rFonts w:cs="Tahoma"/>
        </w:rPr>
      </w:pPr>
      <w:r>
        <w:rPr>
          <w:rFonts w:cs="Tahoma"/>
        </w:rPr>
        <w:t>All staff members must attend manual handling training and use appropriate PPE necessary.</w:t>
      </w:r>
    </w:p>
    <w:p>
      <w:pPr>
        <w:pStyle w:val="Normal"/>
        <w:spacing w:lineRule="auto" w:line="240"/>
        <w:jc w:val="both"/>
        <w:rPr>
          <w:rFonts w:cs="Tahoma"/>
        </w:rPr>
      </w:pPr>
      <w:r>
        <w:rPr>
          <w:rFonts w:cs="Tahoma"/>
        </w:rPr>
      </w:r>
    </w:p>
    <w:p>
      <w:pPr>
        <w:pStyle w:val="Heading3"/>
        <w:rPr/>
      </w:pPr>
      <w:r>
        <w:rPr/>
        <w:t>6.3.4 Electricity</w:t>
      </w:r>
    </w:p>
    <w:p>
      <w:pPr>
        <w:pStyle w:val="Normal"/>
        <w:spacing w:before="0" w:after="0"/>
        <w:rPr/>
      </w:pPr>
      <w:r>
        <w:rPr/>
      </w:r>
    </w:p>
    <w:p>
      <w:pPr>
        <w:pStyle w:val="Normal"/>
        <w:numPr>
          <w:ilvl w:val="0"/>
          <w:numId w:val="46"/>
        </w:numPr>
        <w:spacing w:lineRule="auto" w:line="240" w:before="0" w:after="0"/>
        <w:ind w:left="426" w:hanging="426"/>
        <w:jc w:val="both"/>
        <w:rPr>
          <w:rFonts w:cs="Tahoma"/>
        </w:rPr>
      </w:pPr>
      <w:r>
        <w:rPr>
          <w:rFonts w:cs="Tahoma"/>
        </w:rPr>
        <w:t>All new electrical equipment will be constructed, installed, maintained, protected and used to prevent danger occurring. All existing electrical equipment will be maintained in safe condition and changed where reasonably practicable.</w:t>
      </w:r>
    </w:p>
    <w:p>
      <w:pPr>
        <w:pStyle w:val="Normal"/>
        <w:numPr>
          <w:ilvl w:val="0"/>
          <w:numId w:val="46"/>
        </w:numPr>
        <w:spacing w:lineRule="auto" w:line="240" w:before="0" w:after="0"/>
        <w:ind w:left="426" w:hanging="426"/>
        <w:jc w:val="both"/>
        <w:rPr>
          <w:rFonts w:cs="Tahoma"/>
        </w:rPr>
      </w:pPr>
      <w:r>
        <w:rPr>
          <w:rFonts w:cs="Tahoma"/>
        </w:rPr>
        <w:t>Electrical installations are checked periodically and repairs carried out by a competent electrician.</w:t>
      </w:r>
    </w:p>
    <w:p>
      <w:pPr>
        <w:pStyle w:val="Normal"/>
        <w:numPr>
          <w:ilvl w:val="0"/>
          <w:numId w:val="46"/>
        </w:numPr>
        <w:spacing w:lineRule="auto" w:line="240" w:before="0" w:after="0"/>
        <w:ind w:left="426" w:hanging="426"/>
        <w:jc w:val="both"/>
        <w:rPr>
          <w:rFonts w:cs="Tahoma"/>
        </w:rPr>
      </w:pPr>
      <w:r>
        <w:rPr>
          <w:rFonts w:cs="Tahoma"/>
        </w:rPr>
        <w:t>Only competent or qualified persons are permitted to carry out any electrical work.</w:t>
      </w:r>
    </w:p>
    <w:p>
      <w:pPr>
        <w:pStyle w:val="Normal"/>
        <w:numPr>
          <w:ilvl w:val="0"/>
          <w:numId w:val="46"/>
        </w:numPr>
        <w:spacing w:lineRule="auto" w:line="240" w:before="0" w:after="0"/>
        <w:ind w:left="426" w:hanging="426"/>
        <w:jc w:val="both"/>
        <w:rPr>
          <w:rFonts w:cs="Tahoma"/>
        </w:rPr>
      </w:pPr>
      <w:r>
        <w:rPr>
          <w:rFonts w:cs="Tahoma"/>
        </w:rPr>
        <w:t>All new electrical installations are purchased to the required CE quality compliance standard.</w:t>
      </w:r>
    </w:p>
    <w:p>
      <w:pPr>
        <w:pStyle w:val="Normal"/>
        <w:numPr>
          <w:ilvl w:val="0"/>
          <w:numId w:val="46"/>
        </w:numPr>
        <w:spacing w:lineRule="auto" w:line="240" w:before="0" w:after="0"/>
        <w:ind w:left="426" w:hanging="426"/>
        <w:jc w:val="both"/>
        <w:rPr>
          <w:rFonts w:cs="Tahoma"/>
        </w:rPr>
      </w:pPr>
      <w:r>
        <w:rPr>
          <w:rFonts w:cs="Tahoma"/>
        </w:rPr>
        <w:t>Suitable precautions must be taken when working near/with overhead lines. Fuses, circuit breakers and other devices are correctly rated for the circuit they protect.</w:t>
      </w:r>
    </w:p>
    <w:p>
      <w:pPr>
        <w:pStyle w:val="Normal"/>
        <w:numPr>
          <w:ilvl w:val="0"/>
          <w:numId w:val="46"/>
        </w:numPr>
        <w:spacing w:lineRule="auto" w:line="240" w:before="0" w:after="0"/>
        <w:ind w:left="426" w:hanging="426"/>
        <w:jc w:val="both"/>
        <w:rPr>
          <w:rFonts w:cs="Tahoma"/>
        </w:rPr>
      </w:pPr>
      <w:r>
        <w:rPr>
          <w:rFonts w:cs="Tahoma"/>
        </w:rPr>
        <w:t>All portable electric tools are operated at 110 volts or battery. All connections to power points must be made by proper plugs.</w:t>
      </w:r>
    </w:p>
    <w:p>
      <w:pPr>
        <w:pStyle w:val="Normal"/>
        <w:numPr>
          <w:ilvl w:val="0"/>
          <w:numId w:val="46"/>
        </w:numPr>
        <w:spacing w:lineRule="auto" w:line="240" w:before="0" w:after="0"/>
        <w:ind w:left="426" w:hanging="426"/>
        <w:jc w:val="both"/>
        <w:rPr>
          <w:rFonts w:cs="Tahoma"/>
        </w:rPr>
      </w:pPr>
      <w:r>
        <w:rPr>
          <w:rFonts w:cs="Tahoma"/>
        </w:rPr>
        <w:t>Suspect or faulty equipment must be taken out of use immediately and labelled “Do not use”.</w:t>
      </w:r>
    </w:p>
    <w:p>
      <w:pPr>
        <w:pStyle w:val="Normal"/>
        <w:numPr>
          <w:ilvl w:val="0"/>
          <w:numId w:val="46"/>
        </w:numPr>
        <w:spacing w:lineRule="auto" w:line="240" w:before="0" w:after="0"/>
        <w:ind w:left="426" w:hanging="426"/>
        <w:jc w:val="both"/>
        <w:rPr>
          <w:rFonts w:cs="Tahoma"/>
        </w:rPr>
      </w:pPr>
      <w:r>
        <w:rPr>
          <w:rFonts w:cs="Tahoma"/>
        </w:rPr>
        <w:t>Any signs of damage to equipment wires and cables must be reported to the Engineering department immediately.</w:t>
      </w:r>
    </w:p>
    <w:p>
      <w:pPr>
        <w:pStyle w:val="Normal"/>
        <w:numPr>
          <w:ilvl w:val="0"/>
          <w:numId w:val="46"/>
        </w:numPr>
        <w:spacing w:lineRule="auto" w:line="240" w:before="0" w:after="0"/>
        <w:ind w:left="426" w:hanging="426"/>
        <w:jc w:val="both"/>
        <w:rPr>
          <w:rFonts w:cs="Tahoma"/>
        </w:rPr>
      </w:pPr>
      <w:r>
        <w:rPr>
          <w:rFonts w:cs="Tahoma"/>
        </w:rPr>
        <w:t>Tools and power sockets must be switched off before plugging in. Appliances must be unplugged before cleaning or before any adjustments are made.</w:t>
      </w:r>
    </w:p>
    <w:p>
      <w:pPr>
        <w:pStyle w:val="Normal"/>
        <w:numPr>
          <w:ilvl w:val="0"/>
          <w:numId w:val="46"/>
        </w:numPr>
        <w:spacing w:lineRule="auto" w:line="240" w:before="0" w:after="0"/>
        <w:ind w:left="426" w:hanging="426"/>
        <w:jc w:val="both"/>
        <w:rPr>
          <w:rFonts w:cs="Tahoma"/>
        </w:rPr>
      </w:pPr>
      <w:r>
        <w:rPr>
          <w:rFonts w:cs="Tahoma"/>
        </w:rPr>
        <w:t>Familiarise oneself with control switches, these must be clearly marked to indicate their effect and which machine they control.</w:t>
      </w:r>
    </w:p>
    <w:p>
      <w:pPr>
        <w:pStyle w:val="Normal"/>
        <w:numPr>
          <w:ilvl w:val="0"/>
          <w:numId w:val="46"/>
        </w:numPr>
        <w:spacing w:lineRule="auto" w:line="240" w:before="0" w:after="0"/>
        <w:ind w:left="426" w:hanging="426"/>
        <w:jc w:val="both"/>
        <w:rPr>
          <w:rFonts w:cs="Tahoma"/>
        </w:rPr>
      </w:pPr>
      <w:r>
        <w:rPr>
          <w:rFonts w:cs="Tahoma"/>
        </w:rPr>
        <w:t>Personal domestic electrical appliances are not permitted for use on the School grounds.</w:t>
      </w:r>
    </w:p>
    <w:p>
      <w:pPr>
        <w:pStyle w:val="Normal"/>
        <w:numPr>
          <w:ilvl w:val="0"/>
          <w:numId w:val="46"/>
        </w:numPr>
        <w:spacing w:lineRule="auto" w:line="240" w:before="0" w:after="0"/>
        <w:ind w:left="426" w:hanging="426"/>
        <w:jc w:val="both"/>
        <w:rPr>
          <w:rFonts w:cs="Tahoma"/>
        </w:rPr>
      </w:pPr>
      <w:r>
        <w:rPr>
          <w:rFonts w:cs="Tahoma"/>
        </w:rPr>
        <w:t>Where extra connections are required, please submit a request to the Principal for inclusion in the agenda for the next BOM meeting.  However, in the interim, to power electrical equipment a Surge Protected extension lead may be used with certain conditions: do not overload and do not add a second extension lead to it.</w:t>
      </w:r>
    </w:p>
    <w:p>
      <w:pPr>
        <w:pStyle w:val="Normal"/>
        <w:spacing w:lineRule="auto" w:line="240"/>
        <w:ind w:left="1440" w:hanging="0"/>
        <w:jc w:val="both"/>
        <w:rPr>
          <w:rFonts w:cs="Tahoma"/>
        </w:rPr>
      </w:pPr>
      <w:r>
        <w:rPr>
          <w:rFonts w:cs="Tahoma"/>
        </w:rPr>
      </w:r>
    </w:p>
    <w:p>
      <w:pPr>
        <w:pStyle w:val="Heading3"/>
        <w:rPr/>
      </w:pPr>
      <w:r>
        <w:rPr/>
        <w:t>6.3.5 Housekeeping- Avoidance of Slips/Trips and Falls</w:t>
      </w:r>
    </w:p>
    <w:p>
      <w:pPr>
        <w:pStyle w:val="Normal"/>
        <w:spacing w:lineRule="auto" w:line="240" w:before="0" w:after="0"/>
        <w:ind w:left="426" w:hanging="0"/>
        <w:jc w:val="both"/>
        <w:rPr>
          <w:rFonts w:cs="Tahoma"/>
        </w:rPr>
      </w:pPr>
      <w:r>
        <w:rPr>
          <w:rFonts w:cs="Tahoma"/>
        </w:rPr>
      </w:r>
    </w:p>
    <w:p>
      <w:pPr>
        <w:pStyle w:val="Normal"/>
        <w:numPr>
          <w:ilvl w:val="0"/>
          <w:numId w:val="47"/>
        </w:numPr>
        <w:spacing w:lineRule="auto" w:line="240" w:before="0" w:after="0"/>
        <w:ind w:left="426" w:hanging="426"/>
        <w:jc w:val="both"/>
        <w:rPr>
          <w:rFonts w:cs="Tahoma"/>
        </w:rPr>
      </w:pPr>
      <w:r>
        <w:rPr>
          <w:rFonts w:cs="Tahoma"/>
        </w:rPr>
        <w:t>Poor housekeeping and general untidiness are a major cause of slips, trips and falls.</w:t>
      </w:r>
    </w:p>
    <w:p>
      <w:pPr>
        <w:pStyle w:val="Normal"/>
        <w:numPr>
          <w:ilvl w:val="0"/>
          <w:numId w:val="47"/>
        </w:numPr>
        <w:spacing w:lineRule="auto" w:line="240" w:before="0" w:after="0"/>
        <w:ind w:left="426" w:hanging="426"/>
        <w:jc w:val="both"/>
        <w:rPr>
          <w:rFonts w:cs="Tahoma"/>
        </w:rPr>
      </w:pPr>
      <w:r>
        <w:rPr>
          <w:rFonts w:cs="Tahoma"/>
        </w:rPr>
        <w:t>All passageways and corridors must be kept tidy and free from obstacles and obstruction.</w:t>
      </w:r>
    </w:p>
    <w:p>
      <w:pPr>
        <w:pStyle w:val="Normal"/>
        <w:numPr>
          <w:ilvl w:val="0"/>
          <w:numId w:val="47"/>
        </w:numPr>
        <w:spacing w:lineRule="auto" w:line="240" w:before="0" w:after="0"/>
        <w:ind w:left="426" w:hanging="426"/>
        <w:jc w:val="both"/>
        <w:rPr>
          <w:rFonts w:cs="Tahoma"/>
        </w:rPr>
      </w:pPr>
      <w:r>
        <w:rPr>
          <w:rFonts w:cs="Tahoma"/>
        </w:rPr>
        <w:t>Rubbish must be removed regularly and the work area kept clear.</w:t>
      </w:r>
    </w:p>
    <w:p>
      <w:pPr>
        <w:pStyle w:val="Normal"/>
        <w:numPr>
          <w:ilvl w:val="0"/>
          <w:numId w:val="47"/>
        </w:numPr>
        <w:spacing w:lineRule="auto" w:line="240" w:before="0" w:after="0"/>
        <w:ind w:left="426" w:hanging="426"/>
        <w:jc w:val="both"/>
        <w:rPr>
          <w:rFonts w:cs="Tahoma"/>
        </w:rPr>
      </w:pPr>
      <w:r>
        <w:rPr>
          <w:rFonts w:cs="Tahoma"/>
        </w:rPr>
        <w:t>Equipment cables, if possible must not cross pedestrian routes.</w:t>
      </w:r>
    </w:p>
    <w:p>
      <w:pPr>
        <w:pStyle w:val="Normal"/>
        <w:numPr>
          <w:ilvl w:val="0"/>
          <w:numId w:val="47"/>
        </w:numPr>
        <w:spacing w:lineRule="auto" w:line="240" w:before="0" w:after="0"/>
        <w:ind w:left="426" w:hanging="426"/>
        <w:jc w:val="both"/>
        <w:rPr>
          <w:rFonts w:cs="Tahoma"/>
        </w:rPr>
      </w:pPr>
      <w:r>
        <w:rPr>
          <w:rFonts w:cs="Tahoma"/>
        </w:rPr>
        <w:t>All materials must be properly stacked.</w:t>
      </w:r>
    </w:p>
    <w:p>
      <w:pPr>
        <w:pStyle w:val="Normal"/>
        <w:numPr>
          <w:ilvl w:val="0"/>
          <w:numId w:val="47"/>
        </w:numPr>
        <w:spacing w:lineRule="auto" w:line="240" w:before="0" w:after="0"/>
        <w:ind w:left="426" w:hanging="426"/>
        <w:jc w:val="both"/>
        <w:rPr>
          <w:rFonts w:cs="Tahoma"/>
        </w:rPr>
      </w:pPr>
      <w:r>
        <w:rPr>
          <w:rFonts w:cs="Tahoma"/>
        </w:rPr>
        <w:t>Trailing leads over passageways must be avoided to prevent trip hazards.</w:t>
      </w:r>
    </w:p>
    <w:p>
      <w:pPr>
        <w:pStyle w:val="Normal"/>
        <w:numPr>
          <w:ilvl w:val="0"/>
          <w:numId w:val="47"/>
        </w:numPr>
        <w:spacing w:lineRule="auto" w:line="240" w:before="0" w:after="0"/>
        <w:ind w:left="426" w:hanging="426"/>
        <w:jc w:val="both"/>
        <w:rPr>
          <w:rFonts w:cs="Tahoma"/>
        </w:rPr>
      </w:pPr>
      <w:r>
        <w:rPr>
          <w:rFonts w:cs="Tahoma"/>
        </w:rPr>
        <w:t>Spillages on floors must be cleaned up immediately. The appropriate safety signs must be placed either side of the spillage or wet floor whatever the case may be.</w:t>
      </w:r>
    </w:p>
    <w:p>
      <w:pPr>
        <w:pStyle w:val="Normal"/>
        <w:numPr>
          <w:ilvl w:val="0"/>
          <w:numId w:val="47"/>
        </w:numPr>
        <w:spacing w:lineRule="auto" w:line="240" w:before="0" w:after="0"/>
        <w:ind w:left="426" w:hanging="426"/>
        <w:jc w:val="both"/>
        <w:rPr>
          <w:rFonts w:cs="Tahoma"/>
        </w:rPr>
      </w:pPr>
      <w:r>
        <w:rPr>
          <w:rFonts w:cs="Tahoma"/>
        </w:rPr>
        <w:t>Torn floor coverings must be replaced or repaired immediately.</w:t>
      </w:r>
    </w:p>
    <w:p>
      <w:pPr>
        <w:pStyle w:val="Normal"/>
        <w:numPr>
          <w:ilvl w:val="0"/>
          <w:numId w:val="47"/>
        </w:numPr>
        <w:spacing w:lineRule="auto" w:line="240" w:before="0" w:after="0"/>
        <w:ind w:left="426" w:hanging="426"/>
        <w:jc w:val="both"/>
        <w:rPr>
          <w:rFonts w:cs="Tahoma"/>
        </w:rPr>
      </w:pPr>
      <w:r>
        <w:rPr>
          <w:rFonts w:cs="Tahoma"/>
        </w:rPr>
        <w:t>Stairs must be well lit at all times.</w:t>
      </w:r>
    </w:p>
    <w:p>
      <w:pPr>
        <w:pStyle w:val="Normal"/>
        <w:numPr>
          <w:ilvl w:val="0"/>
          <w:numId w:val="47"/>
        </w:numPr>
        <w:spacing w:lineRule="auto" w:line="240" w:before="0" w:after="0"/>
        <w:ind w:left="426" w:hanging="426"/>
        <w:jc w:val="both"/>
        <w:rPr>
          <w:rFonts w:cs="Tahoma"/>
        </w:rPr>
      </w:pPr>
      <w:r>
        <w:rPr>
          <w:rFonts w:cs="Tahoma"/>
        </w:rPr>
        <w:t>Lighting levels need to allow safe passage throughout the premises.</w:t>
      </w:r>
    </w:p>
    <w:p>
      <w:pPr>
        <w:pStyle w:val="Normal"/>
        <w:numPr>
          <w:ilvl w:val="0"/>
          <w:numId w:val="47"/>
        </w:numPr>
        <w:spacing w:lineRule="auto" w:line="240" w:before="0" w:after="0"/>
        <w:ind w:left="426" w:hanging="426"/>
        <w:jc w:val="both"/>
        <w:rPr>
          <w:rFonts w:cs="Tahoma"/>
        </w:rPr>
      </w:pPr>
      <w:r>
        <w:rPr>
          <w:rFonts w:cs="Tahoma"/>
        </w:rPr>
        <w:t>Care must be taken during cleaning and maintenance work not to create new slip and trip hazards.</w:t>
      </w:r>
    </w:p>
    <w:p>
      <w:pPr>
        <w:pStyle w:val="Normal"/>
        <w:numPr>
          <w:ilvl w:val="0"/>
          <w:numId w:val="47"/>
        </w:numPr>
        <w:spacing w:lineRule="auto" w:line="240" w:before="0" w:after="0"/>
        <w:ind w:left="426" w:hanging="426"/>
        <w:jc w:val="both"/>
        <w:rPr>
          <w:rFonts w:cs="Tahoma"/>
        </w:rPr>
      </w:pPr>
      <w:r>
        <w:rPr>
          <w:rFonts w:cs="Tahoma"/>
        </w:rPr>
        <w:t>Staff provided with changing facilities must keep them in a tidy manner. Lockers should be used.</w:t>
      </w:r>
    </w:p>
    <w:p>
      <w:pPr>
        <w:pStyle w:val="Heading3"/>
        <w:rPr/>
      </w:pPr>
      <w:r>
        <w:rPr/>
        <w:t>6.3.6 Visual Display Units/ Work Stations</w:t>
      </w:r>
    </w:p>
    <w:p>
      <w:pPr>
        <w:pStyle w:val="Normal"/>
        <w:spacing w:lineRule="auto" w:line="240" w:before="0" w:after="0"/>
        <w:jc w:val="both"/>
        <w:rPr>
          <w:rFonts w:cs="Tahoma"/>
        </w:rPr>
      </w:pPr>
      <w:r>
        <w:rPr>
          <w:rFonts w:cs="Tahoma"/>
        </w:rPr>
        <w:t>Chapter 5 of the General Application Regulations 2007, refer to the visual display unit, the operator, the desk, chair and surrounding area. All workstations must be designed to suit the tasks carried out at them. Ergonomic assessments will be carried out by Occupational Health at formal workstations and for work practices and procedures throughout the School.</w:t>
      </w:r>
    </w:p>
    <w:p>
      <w:pPr>
        <w:pStyle w:val="Normal"/>
        <w:spacing w:lineRule="auto" w:line="240" w:before="0" w:after="0"/>
        <w:ind w:left="720" w:hanging="0"/>
        <w:jc w:val="both"/>
        <w:rPr>
          <w:rFonts w:cs="Tahoma"/>
        </w:rPr>
      </w:pPr>
      <w:r>
        <w:rPr>
          <w:rFonts w:cs="Tahoma"/>
        </w:rPr>
      </w:r>
    </w:p>
    <w:p>
      <w:pPr>
        <w:pStyle w:val="Normal"/>
        <w:spacing w:lineRule="auto" w:line="240" w:before="0" w:after="0"/>
        <w:jc w:val="both"/>
        <w:rPr>
          <w:rFonts w:cs="Tahoma"/>
          <w:b/>
          <w:b/>
        </w:rPr>
      </w:pPr>
      <w:r>
        <w:rPr>
          <w:rFonts w:cs="Tahoma"/>
          <w:b/>
        </w:rPr>
        <w:t>Minimum requirements for all VDUs</w:t>
      </w:r>
    </w:p>
    <w:p>
      <w:pPr>
        <w:pStyle w:val="Normal"/>
        <w:numPr>
          <w:ilvl w:val="0"/>
          <w:numId w:val="22"/>
        </w:numPr>
        <w:spacing w:lineRule="auto" w:line="240" w:before="0" w:after="0"/>
        <w:ind w:left="284" w:hanging="284"/>
        <w:jc w:val="both"/>
        <w:rPr>
          <w:rFonts w:cs="Tahoma"/>
        </w:rPr>
      </w:pPr>
      <w:r>
        <w:rPr>
          <w:rFonts w:cs="Tahoma"/>
        </w:rPr>
        <w:t>The general use of the equipment shall not be a source of risk for employees.</w:t>
      </w:r>
    </w:p>
    <w:p>
      <w:pPr>
        <w:pStyle w:val="Normal"/>
        <w:numPr>
          <w:ilvl w:val="0"/>
          <w:numId w:val="22"/>
        </w:numPr>
        <w:spacing w:lineRule="auto" w:line="240" w:before="0" w:after="0"/>
        <w:ind w:left="284" w:hanging="284"/>
        <w:jc w:val="both"/>
        <w:rPr>
          <w:rFonts w:cs="Tahoma"/>
        </w:rPr>
      </w:pPr>
      <w:r>
        <w:rPr>
          <w:rFonts w:cs="Tahoma"/>
        </w:rPr>
        <w:t>The image on screen shall be stable, with no flickering or other forms of instability.</w:t>
      </w:r>
    </w:p>
    <w:p>
      <w:pPr>
        <w:pStyle w:val="Normal"/>
        <w:numPr>
          <w:ilvl w:val="0"/>
          <w:numId w:val="22"/>
        </w:numPr>
        <w:spacing w:lineRule="auto" w:line="240" w:before="0" w:after="0"/>
        <w:ind w:left="284" w:hanging="284"/>
        <w:jc w:val="both"/>
        <w:rPr>
          <w:rFonts w:cs="Tahoma"/>
        </w:rPr>
      </w:pPr>
      <w:r>
        <w:rPr>
          <w:rFonts w:cs="Tahoma"/>
        </w:rPr>
        <w:t>The brightness or the contrast (or both) between the characters and the background shall be easily adjustable by the employee and easily adjustable to ambient conditions.</w:t>
      </w:r>
    </w:p>
    <w:p>
      <w:pPr>
        <w:pStyle w:val="Normal"/>
        <w:numPr>
          <w:ilvl w:val="0"/>
          <w:numId w:val="22"/>
        </w:numPr>
        <w:spacing w:lineRule="auto" w:line="240" w:before="0" w:after="0"/>
        <w:ind w:left="284" w:hanging="284"/>
        <w:jc w:val="both"/>
        <w:rPr>
          <w:rFonts w:cs="Tahoma"/>
        </w:rPr>
      </w:pPr>
      <w:r>
        <w:rPr>
          <w:rFonts w:cs="Tahoma"/>
        </w:rPr>
        <w:t>The screen shall be free of reflective glare and reflections liable to cause discomfort to a user.</w:t>
      </w:r>
    </w:p>
    <w:p>
      <w:pPr>
        <w:pStyle w:val="Normal"/>
        <w:numPr>
          <w:ilvl w:val="0"/>
          <w:numId w:val="22"/>
        </w:numPr>
        <w:spacing w:lineRule="auto" w:line="240" w:before="0" w:after="0"/>
        <w:ind w:left="284" w:hanging="284"/>
        <w:jc w:val="both"/>
        <w:rPr>
          <w:rFonts w:cs="Tahoma"/>
        </w:rPr>
      </w:pPr>
      <w:r>
        <w:rPr>
          <w:rFonts w:cs="Tahoma"/>
        </w:rPr>
        <w:t>The keyboard shall have a matt surface to avoid reflective glare.</w:t>
      </w:r>
    </w:p>
    <w:p>
      <w:pPr>
        <w:pStyle w:val="Normal"/>
        <w:numPr>
          <w:ilvl w:val="0"/>
          <w:numId w:val="22"/>
        </w:numPr>
        <w:spacing w:lineRule="auto" w:line="240" w:before="0" w:after="0"/>
        <w:ind w:left="284" w:hanging="284"/>
        <w:jc w:val="both"/>
        <w:rPr>
          <w:rFonts w:cs="Tahoma"/>
        </w:rPr>
      </w:pPr>
      <w:r>
        <w:rPr>
          <w:rFonts w:cs="Tahoma"/>
        </w:rPr>
        <w:t>The arrangement of the keyboard and the characteristics of the keys shall be such as to facilitate the use of the keyboard.</w:t>
      </w:r>
    </w:p>
    <w:p>
      <w:pPr>
        <w:pStyle w:val="Normal"/>
        <w:numPr>
          <w:ilvl w:val="0"/>
          <w:numId w:val="22"/>
        </w:numPr>
        <w:spacing w:lineRule="auto" w:line="240" w:before="0" w:after="0"/>
        <w:ind w:left="284" w:hanging="284"/>
        <w:jc w:val="both"/>
        <w:rPr>
          <w:rFonts w:cs="Tahoma"/>
        </w:rPr>
      </w:pPr>
      <w:r>
        <w:rPr>
          <w:rFonts w:cs="Tahoma"/>
        </w:rPr>
        <w:t>The symbols on the keys shall be adequately contrasted and legible from the working position.</w:t>
      </w:r>
    </w:p>
    <w:p>
      <w:pPr>
        <w:pStyle w:val="Normal"/>
        <w:spacing w:lineRule="auto" w:line="240" w:before="0" w:after="0"/>
        <w:ind w:left="1080" w:hanging="0"/>
        <w:jc w:val="both"/>
        <w:rPr>
          <w:rFonts w:cs="Tahoma"/>
        </w:rPr>
      </w:pPr>
      <w:r>
        <w:rPr>
          <w:rFonts w:cs="Tahoma"/>
        </w:rPr>
      </w:r>
    </w:p>
    <w:p>
      <w:pPr>
        <w:pStyle w:val="Normal"/>
        <w:spacing w:lineRule="auto" w:line="240" w:before="0" w:after="0"/>
        <w:ind w:left="284" w:hanging="284"/>
        <w:jc w:val="both"/>
        <w:rPr>
          <w:rFonts w:cs="Tahoma"/>
        </w:rPr>
      </w:pPr>
      <w:r>
        <w:rPr>
          <w:rFonts w:cs="Tahoma"/>
        </w:rPr>
        <w:t>Minimum requirements for all formal Work Stations</w:t>
      </w:r>
    </w:p>
    <w:p>
      <w:pPr>
        <w:pStyle w:val="Normal"/>
        <w:numPr>
          <w:ilvl w:val="0"/>
          <w:numId w:val="23"/>
        </w:numPr>
        <w:spacing w:lineRule="auto" w:line="240" w:before="0" w:after="0"/>
        <w:ind w:left="284" w:hanging="284"/>
        <w:jc w:val="both"/>
        <w:rPr>
          <w:rFonts w:cs="Tahoma"/>
        </w:rPr>
      </w:pPr>
      <w:r>
        <w:rPr>
          <w:rFonts w:cs="Tahoma"/>
        </w:rPr>
        <w:t>The workstation shall be dimensioned and designed so as to provide sufficient space for the user to change position and vary movements.</w:t>
      </w:r>
    </w:p>
    <w:p>
      <w:pPr>
        <w:pStyle w:val="Normal"/>
        <w:numPr>
          <w:ilvl w:val="0"/>
          <w:numId w:val="23"/>
        </w:numPr>
        <w:spacing w:lineRule="auto" w:line="240" w:before="0" w:after="0"/>
        <w:ind w:left="284" w:hanging="284"/>
        <w:jc w:val="both"/>
        <w:rPr>
          <w:rFonts w:cs="Tahoma"/>
        </w:rPr>
      </w:pPr>
      <w:r>
        <w:rPr>
          <w:rFonts w:cs="Tahoma"/>
        </w:rPr>
        <w:t>The work chair shall be stable and allow the user easy freedom of movement and a comfortable position.</w:t>
      </w:r>
    </w:p>
    <w:p>
      <w:pPr>
        <w:pStyle w:val="Normal"/>
        <w:numPr>
          <w:ilvl w:val="0"/>
          <w:numId w:val="23"/>
        </w:numPr>
        <w:spacing w:lineRule="auto" w:line="240" w:before="0" w:after="0"/>
        <w:ind w:left="284" w:hanging="284"/>
        <w:jc w:val="both"/>
        <w:rPr>
          <w:rFonts w:cs="Tahoma"/>
        </w:rPr>
      </w:pPr>
      <w:r>
        <w:rPr>
          <w:rFonts w:cs="Tahoma"/>
        </w:rPr>
        <w:t>The seat shall be adjustable in height.</w:t>
      </w:r>
    </w:p>
    <w:p>
      <w:pPr>
        <w:pStyle w:val="Normal"/>
        <w:numPr>
          <w:ilvl w:val="0"/>
          <w:numId w:val="23"/>
        </w:numPr>
        <w:spacing w:lineRule="auto" w:line="240" w:before="0" w:after="0"/>
        <w:ind w:left="284" w:hanging="284"/>
        <w:jc w:val="both"/>
        <w:rPr>
          <w:rFonts w:cs="Tahoma"/>
        </w:rPr>
      </w:pPr>
      <w:r>
        <w:rPr>
          <w:rFonts w:cs="Tahoma"/>
        </w:rPr>
        <w:t>The seat back shall be adjustable in both height and tilt.</w:t>
      </w:r>
    </w:p>
    <w:p>
      <w:pPr>
        <w:pStyle w:val="Normal"/>
        <w:numPr>
          <w:ilvl w:val="0"/>
          <w:numId w:val="23"/>
        </w:numPr>
        <w:spacing w:lineRule="auto" w:line="240" w:before="0" w:after="0"/>
        <w:ind w:left="284" w:hanging="284"/>
        <w:jc w:val="both"/>
        <w:rPr>
          <w:rFonts w:cs="Tahoma"/>
        </w:rPr>
      </w:pPr>
      <w:r>
        <w:rPr>
          <w:rFonts w:cs="Tahoma"/>
        </w:rPr>
        <w:t>A footrest shall be made available to any user who requires one.</w:t>
      </w:r>
    </w:p>
    <w:p>
      <w:pPr>
        <w:pStyle w:val="Heading2"/>
        <w:spacing w:lineRule="auto" w:line="240"/>
        <w:rPr>
          <w:rFonts w:ascii="Calibri" w:hAnsi="Calibri"/>
        </w:rPr>
      </w:pPr>
      <w:bookmarkStart w:id="17" w:name="_Toc244923561"/>
      <w:bookmarkEnd w:id="17"/>
      <w:r>
        <w:rPr>
          <w:rFonts w:ascii="Calibri" w:hAnsi="Calibri"/>
        </w:rPr>
        <w:t>6.4 Chemicals/Dangerous Substances Hazards</w:t>
      </w:r>
    </w:p>
    <w:p>
      <w:pPr>
        <w:pStyle w:val="Normal"/>
        <w:spacing w:lineRule="auto" w:line="240" w:before="0" w:after="0"/>
        <w:rPr/>
      </w:pPr>
      <w:r>
        <w:rPr/>
      </w:r>
    </w:p>
    <w:p>
      <w:pPr>
        <w:pStyle w:val="Normal"/>
        <w:spacing w:lineRule="auto" w:line="240"/>
        <w:jc w:val="both"/>
        <w:rPr>
          <w:rFonts w:cs="Tahoma"/>
        </w:rPr>
      </w:pPr>
      <w:r>
        <w:rPr>
          <w:rFonts w:cs="Tahoma"/>
        </w:rPr>
        <w:t>Threshold limit values (TLVs): For many chemicals, there is an ambient airborne concentration of chemical, below which it is believed that nearly all workers can be repeatedly exposed on a daily basis without having any adverse effect.</w:t>
      </w:r>
    </w:p>
    <w:p>
      <w:pPr>
        <w:pStyle w:val="Normal"/>
        <w:spacing w:lineRule="auto" w:line="240"/>
        <w:jc w:val="both"/>
        <w:rPr>
          <w:rFonts w:cs="Tahoma"/>
        </w:rPr>
      </w:pPr>
      <w:r>
        <w:rPr>
          <w:rFonts w:cs="Tahoma"/>
        </w:rPr>
        <w:t>From the Chemical Agent Regulations, the term occupational exposure limits (OEL) means the maximum permissible concentration of a chemical agent in the air at the workplace to which workers may be exposed in relation to an 8-hour or a 15-minute period. Long-term limits are expressed as time weighted average concentrations over an 8-hour working day that is designed to protect workers against the effects of long-term exposure.</w:t>
      </w:r>
    </w:p>
    <w:p>
      <w:pPr>
        <w:pStyle w:val="Normal"/>
        <w:spacing w:lineRule="auto" w:line="240"/>
        <w:jc w:val="both"/>
        <w:rPr>
          <w:rFonts w:cs="Tahoma"/>
        </w:rPr>
      </w:pPr>
      <w:r>
        <w:rPr>
          <w:rFonts w:cs="Tahoma"/>
        </w:rPr>
        <w:t>Short term limits for a time weighted average of 15 minutes. The threshold limit values of chemicals can be obtained from the material safety data sheet.</w:t>
      </w:r>
    </w:p>
    <w:p>
      <w:pPr>
        <w:pStyle w:val="Heading3"/>
        <w:rPr/>
      </w:pPr>
      <w:r>
        <w:rPr/>
        <w:t>6.4.1 Safety Data Sheets:</w:t>
      </w:r>
    </w:p>
    <w:p>
      <w:pPr>
        <w:pStyle w:val="Normal"/>
        <w:spacing w:lineRule="auto" w:line="240"/>
        <w:jc w:val="both"/>
        <w:rPr>
          <w:rFonts w:cs="Tahoma"/>
        </w:rPr>
      </w:pPr>
      <w:r>
        <w:rPr>
          <w:rFonts w:cs="Tahoma"/>
        </w:rPr>
        <w:t>Safety Data Sheets (SDS) are available for all agents used within the School. The school will maintain a data base of SDS Sheets available for reference on the intranet. Those that introduce a new substance into the School must first seek approval of the Purchasing Officer and provide a copy of the SDS sheets.</w:t>
      </w:r>
    </w:p>
    <w:p>
      <w:pPr>
        <w:pStyle w:val="Normal"/>
        <w:spacing w:lineRule="auto" w:line="240"/>
        <w:jc w:val="both"/>
        <w:rPr>
          <w:rFonts w:cs="Tahoma"/>
        </w:rPr>
      </w:pPr>
      <w:r>
        <w:rPr>
          <w:rFonts w:cs="Tahoma"/>
        </w:rPr>
        <w:t>Safety Data Sheets (SDS) are an important source of information to the employee. All employees must become familiar with the appropriate sheet for the chemical/ agent in which they are using.</w:t>
      </w:r>
    </w:p>
    <w:p>
      <w:pPr>
        <w:pStyle w:val="Normal"/>
        <w:spacing w:lineRule="auto" w:line="240"/>
        <w:jc w:val="both"/>
        <w:rPr>
          <w:rFonts w:cs="Tahoma"/>
        </w:rPr>
      </w:pPr>
      <w:r>
        <w:rPr>
          <w:rFonts w:cs="Tahoma"/>
        </w:rPr>
        <w:t>The SDS gives information on the composition, hazard identification, first aid measures, fire fighting measures, accidental release, handling and storage, exposure controls/personal protection, physical and chemical properties, stability and reactivity, toxicological information, ecological information, disposal considerations and transport information. All employees exposed or using any type of chemical should be aware of the SDS for respective substances.</w:t>
      </w:r>
    </w:p>
    <w:p>
      <w:pPr>
        <w:pStyle w:val="Default"/>
        <w:rPr>
          <w:rFonts w:ascii="Calibri" w:hAnsi="Calibri" w:cs="Tahoma"/>
          <w:b/>
          <w:b/>
          <w:bCs/>
          <w:color w:val="548DD4"/>
          <w:sz w:val="22"/>
          <w:szCs w:val="22"/>
        </w:rPr>
      </w:pPr>
      <w:r>
        <w:rPr>
          <w:rFonts w:cs="Tahoma" w:ascii="Calibri" w:hAnsi="Calibri"/>
          <w:b/>
          <w:bCs/>
          <w:color w:val="548DD4"/>
          <w:sz w:val="22"/>
          <w:szCs w:val="22"/>
        </w:rPr>
      </w:r>
    </w:p>
    <w:p>
      <w:pPr>
        <w:pStyle w:val="Default"/>
        <w:rPr>
          <w:rFonts w:ascii="Calibri" w:hAnsi="Calibri" w:cs="Tahoma"/>
          <w:color w:val="00000A"/>
          <w:sz w:val="22"/>
          <w:szCs w:val="22"/>
        </w:rPr>
      </w:pPr>
      <w:r>
        <w:rPr>
          <w:rFonts w:cs="Tahoma" w:ascii="Calibri" w:hAnsi="Calibri"/>
          <w:b/>
          <w:bCs/>
          <w:color w:val="00000A"/>
          <w:sz w:val="22"/>
          <w:szCs w:val="22"/>
        </w:rPr>
        <w:t>6.4.2 A non – exhaustive list of chemical definitions</w:t>
      </w:r>
    </w:p>
    <w:p>
      <w:pPr>
        <w:pStyle w:val="Default"/>
        <w:rPr>
          <w:rFonts w:ascii="Calibri" w:hAnsi="Calibri" w:cs="Tahoma"/>
          <w:sz w:val="23"/>
          <w:szCs w:val="23"/>
        </w:rPr>
      </w:pPr>
      <w:r>
        <w:rPr>
          <w:rFonts w:cs="Tahoma" w:ascii="Calibri" w:hAnsi="Calibri"/>
          <w:sz w:val="23"/>
          <w:szCs w:val="23"/>
        </w:rPr>
      </w:r>
    </w:p>
    <w:p>
      <w:pPr>
        <w:pStyle w:val="Default"/>
        <w:jc w:val="both"/>
        <w:rPr>
          <w:rFonts w:ascii="Calibri" w:hAnsi="Calibri" w:cs="Tahoma"/>
          <w:sz w:val="23"/>
          <w:szCs w:val="23"/>
        </w:rPr>
      </w:pPr>
      <w:r>
        <w:rPr/>
        <w:drawing>
          <wp:inline distT="0" distB="0" distL="19050" distR="7620">
            <wp:extent cx="678180" cy="541020"/>
            <wp:effectExtent l="0" t="0" r="0" b="0"/>
            <wp:docPr id="2"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
                    <pic:cNvPicPr>
                      <a:picLocks noChangeAspect="1" noChangeArrowheads="1"/>
                    </pic:cNvPicPr>
                  </pic:nvPicPr>
                  <pic:blipFill>
                    <a:blip r:embed="rId7"/>
                    <a:stretch>
                      <a:fillRect/>
                    </a:stretch>
                  </pic:blipFill>
                  <pic:spPr bwMode="auto">
                    <a:xfrm>
                      <a:off x="0" y="0"/>
                      <a:ext cx="678180" cy="541020"/>
                    </a:xfrm>
                    <a:prstGeom prst="rect">
                      <a:avLst/>
                    </a:prstGeom>
                  </pic:spPr>
                </pic:pic>
              </a:graphicData>
            </a:graphic>
          </wp:inline>
        </w:drawing>
      </w:r>
      <w:r>
        <w:rPr>
          <w:rFonts w:cs="Tahoma" w:ascii="Calibri" w:hAnsi="Calibri"/>
        </w:rPr>
        <w:t xml:space="preserve"> </w:t>
      </w:r>
      <w:r>
        <w:rPr>
          <w:rFonts w:cs="Tahoma" w:ascii="Calibri" w:hAnsi="Calibri"/>
          <w:b/>
        </w:rPr>
        <w:t>Explosive:</w:t>
      </w:r>
      <w:r>
        <w:rPr>
          <w:rFonts w:cs="Tahoma" w:ascii="Calibri" w:hAnsi="Calibri"/>
        </w:rPr>
        <w:t xml:space="preserve"> </w:t>
      </w:r>
      <w:r>
        <w:rPr>
          <w:rFonts w:cs="Tahoma" w:ascii="Calibri" w:hAnsi="Calibri"/>
          <w:sz w:val="23"/>
          <w:szCs w:val="23"/>
        </w:rPr>
        <w:t>A substance that may explode under the effect of flame, which is more sensitive to shocks or friction.</w:t>
      </w:r>
    </w:p>
    <w:p>
      <w:pPr>
        <w:pStyle w:val="Default"/>
        <w:rPr>
          <w:rFonts w:ascii="Calibri" w:hAnsi="Calibri" w:cs="Tahoma"/>
          <w:sz w:val="23"/>
          <w:szCs w:val="23"/>
        </w:rPr>
      </w:pPr>
      <w:r>
        <w:rPr>
          <w:rFonts w:cs="Tahoma" w:ascii="Calibri" w:hAnsi="Calibri"/>
          <w:sz w:val="23"/>
          <w:szCs w:val="23"/>
        </w:rPr>
      </w:r>
    </w:p>
    <w:p>
      <w:pPr>
        <w:pStyle w:val="Default"/>
        <w:jc w:val="both"/>
        <w:rPr>
          <w:rFonts w:ascii="Calibri" w:hAnsi="Calibri" w:cs="Tahoma"/>
          <w:sz w:val="23"/>
          <w:szCs w:val="23"/>
        </w:rPr>
      </w:pPr>
      <w:r>
        <w:rPr/>
        <w:drawing>
          <wp:inline distT="0" distB="0" distL="19050" distR="0">
            <wp:extent cx="685800" cy="579120"/>
            <wp:effectExtent l="0" t="0" r="0" b="0"/>
            <wp:docPr id="3"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
                    <pic:cNvPicPr>
                      <a:picLocks noChangeAspect="1" noChangeArrowheads="1"/>
                    </pic:cNvPicPr>
                  </pic:nvPicPr>
                  <pic:blipFill>
                    <a:blip r:embed="rId8"/>
                    <a:stretch>
                      <a:fillRect/>
                    </a:stretch>
                  </pic:blipFill>
                  <pic:spPr bwMode="auto">
                    <a:xfrm>
                      <a:off x="0" y="0"/>
                      <a:ext cx="685800" cy="579120"/>
                    </a:xfrm>
                    <a:prstGeom prst="rect">
                      <a:avLst/>
                    </a:prstGeom>
                  </pic:spPr>
                </pic:pic>
              </a:graphicData>
            </a:graphic>
          </wp:inline>
        </w:drawing>
      </w:r>
      <w:r>
        <w:rPr>
          <w:rFonts w:cs="Tahoma" w:ascii="Calibri" w:hAnsi="Calibri"/>
          <w:b/>
          <w:sz w:val="23"/>
          <w:szCs w:val="23"/>
        </w:rPr>
        <w:t>Oxidising:</w:t>
      </w:r>
      <w:r>
        <w:rPr>
          <w:rFonts w:cs="Tahoma" w:ascii="Calibri" w:hAnsi="Calibri"/>
          <w:sz w:val="23"/>
          <w:szCs w:val="23"/>
        </w:rPr>
        <w:t xml:space="preserve"> A substance which gives rise to high exothermic reaction when in contact with other substances, particularly flammable substances such as concentrated nitric acid and concentrated hydrogen peroxide</w:t>
      </w:r>
    </w:p>
    <w:p>
      <w:pPr>
        <w:pStyle w:val="Default"/>
        <w:jc w:val="both"/>
        <w:rPr>
          <w:rFonts w:ascii="Calibri" w:hAnsi="Calibri" w:cs="Tahoma"/>
          <w:sz w:val="23"/>
          <w:szCs w:val="23"/>
        </w:rPr>
      </w:pPr>
      <w:r>
        <w:rPr>
          <w:rFonts w:cs="Tahoma" w:ascii="Calibri" w:hAnsi="Calibri"/>
          <w:sz w:val="23"/>
          <w:szCs w:val="23"/>
        </w:rPr>
      </w:r>
    </w:p>
    <w:p>
      <w:pPr>
        <w:pStyle w:val="Default"/>
        <w:jc w:val="both"/>
        <w:rPr>
          <w:rFonts w:ascii="Calibri" w:hAnsi="Calibri" w:cs="Tahoma"/>
          <w:sz w:val="23"/>
          <w:szCs w:val="23"/>
        </w:rPr>
      </w:pPr>
      <w:r>
        <w:rPr/>
        <w:drawing>
          <wp:inline distT="0" distB="0" distL="19050" distR="0">
            <wp:extent cx="693420" cy="655320"/>
            <wp:effectExtent l="0" t="0" r="0" b="0"/>
            <wp:docPr id="4" name="Pictur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
                    <pic:cNvPicPr>
                      <a:picLocks noChangeAspect="1" noChangeArrowheads="1"/>
                    </pic:cNvPicPr>
                  </pic:nvPicPr>
                  <pic:blipFill>
                    <a:blip r:embed="rId9"/>
                    <a:stretch>
                      <a:fillRect/>
                    </a:stretch>
                  </pic:blipFill>
                  <pic:spPr bwMode="auto">
                    <a:xfrm>
                      <a:off x="0" y="0"/>
                      <a:ext cx="693420" cy="655320"/>
                    </a:xfrm>
                    <a:prstGeom prst="rect">
                      <a:avLst/>
                    </a:prstGeom>
                  </pic:spPr>
                </pic:pic>
              </a:graphicData>
            </a:graphic>
          </wp:inline>
        </w:drawing>
      </w:r>
      <w:r>
        <w:rPr>
          <w:rFonts w:cs="Tahoma" w:ascii="Calibri" w:hAnsi="Calibri"/>
          <w:b/>
          <w:bCs/>
          <w:sz w:val="21"/>
          <w:szCs w:val="21"/>
        </w:rPr>
        <w:t xml:space="preserve"> </w:t>
      </w:r>
      <w:r>
        <w:rPr>
          <w:rFonts w:cs="Tahoma" w:ascii="Calibri" w:hAnsi="Calibri"/>
          <w:b/>
          <w:bCs/>
          <w:sz w:val="21"/>
          <w:szCs w:val="21"/>
        </w:rPr>
        <w:t xml:space="preserve">High flammable liquids: </w:t>
      </w:r>
      <w:r>
        <w:rPr>
          <w:rFonts w:cs="Tahoma" w:ascii="Calibri" w:hAnsi="Calibri"/>
        </w:rPr>
        <w:t xml:space="preserve"> </w:t>
      </w:r>
      <w:r>
        <w:rPr>
          <w:rFonts w:cs="Tahoma" w:ascii="Calibri" w:hAnsi="Calibri"/>
          <w:sz w:val="23"/>
          <w:szCs w:val="23"/>
        </w:rPr>
        <w:t>Substances that have flash points below 32°C such as Petrol. The flash point is the minimum temperature at which vapours given off by a liquid forms an ignitable mixture with air.</w:t>
      </w:r>
    </w:p>
    <w:p>
      <w:pPr>
        <w:pStyle w:val="Default"/>
        <w:rPr>
          <w:rFonts w:ascii="Calibri" w:hAnsi="Calibri" w:cs="Tahoma"/>
          <w:sz w:val="21"/>
          <w:szCs w:val="21"/>
        </w:rPr>
      </w:pPr>
      <w:r>
        <w:rPr>
          <w:rFonts w:cs="Tahoma" w:ascii="Calibri" w:hAnsi="Calibri"/>
          <w:sz w:val="21"/>
          <w:szCs w:val="21"/>
        </w:rPr>
      </w:r>
    </w:p>
    <w:p>
      <w:pPr>
        <w:pStyle w:val="Default"/>
        <w:jc w:val="both"/>
        <w:rPr>
          <w:rFonts w:ascii="Calibri" w:hAnsi="Calibri" w:cs="Tahoma"/>
          <w:sz w:val="23"/>
          <w:szCs w:val="23"/>
        </w:rPr>
      </w:pPr>
      <w:r>
        <w:rPr/>
        <w:drawing>
          <wp:inline distT="0" distB="0" distL="19050" distR="0">
            <wp:extent cx="769620" cy="640080"/>
            <wp:effectExtent l="0" t="0" r="0" b="0"/>
            <wp:docPr id="5" name="Picture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
                    <pic:cNvPicPr>
                      <a:picLocks noChangeAspect="1" noChangeArrowheads="1"/>
                    </pic:cNvPicPr>
                  </pic:nvPicPr>
                  <pic:blipFill>
                    <a:blip r:embed="rId10"/>
                    <a:stretch>
                      <a:fillRect/>
                    </a:stretch>
                  </pic:blipFill>
                  <pic:spPr bwMode="auto">
                    <a:xfrm>
                      <a:off x="0" y="0"/>
                      <a:ext cx="769620" cy="640080"/>
                    </a:xfrm>
                    <a:prstGeom prst="rect">
                      <a:avLst/>
                    </a:prstGeom>
                  </pic:spPr>
                </pic:pic>
              </a:graphicData>
            </a:graphic>
          </wp:inline>
        </w:drawing>
      </w:r>
      <w:r>
        <w:rPr>
          <w:rFonts w:cs="Tahoma" w:ascii="Calibri" w:hAnsi="Calibri"/>
          <w:b/>
          <w:sz w:val="23"/>
          <w:szCs w:val="23"/>
        </w:rPr>
        <w:t xml:space="preserve">Harmful: </w:t>
      </w:r>
      <w:r>
        <w:rPr>
          <w:rFonts w:cs="Tahoma" w:ascii="Calibri" w:hAnsi="Calibri"/>
          <w:sz w:val="23"/>
          <w:szCs w:val="23"/>
        </w:rPr>
        <w:t>A substance which if inhaled or ingested or if it penetrates the skin may involve serious acute or chronic health risks and even death</w:t>
      </w:r>
    </w:p>
    <w:p>
      <w:pPr>
        <w:pStyle w:val="Default"/>
        <w:jc w:val="both"/>
        <w:rPr>
          <w:rFonts w:ascii="Calibri" w:hAnsi="Calibri" w:cs="Tahoma"/>
          <w:sz w:val="23"/>
          <w:szCs w:val="23"/>
        </w:rPr>
      </w:pPr>
      <w:r>
        <w:rPr>
          <w:rFonts w:cs="Tahoma" w:ascii="Calibri" w:hAnsi="Calibri"/>
          <w:sz w:val="23"/>
          <w:szCs w:val="23"/>
        </w:rPr>
      </w:r>
    </w:p>
    <w:p>
      <w:pPr>
        <w:pStyle w:val="Default"/>
        <w:jc w:val="both"/>
        <w:rPr>
          <w:rFonts w:ascii="Calibri" w:hAnsi="Calibri" w:cs="Tahoma"/>
          <w:sz w:val="23"/>
          <w:szCs w:val="23"/>
        </w:rPr>
      </w:pPr>
      <w:r>
        <w:rPr/>
        <w:drawing>
          <wp:inline distT="0" distB="0" distL="19050" distR="3810">
            <wp:extent cx="777240" cy="647700"/>
            <wp:effectExtent l="0" t="0" r="0" b="0"/>
            <wp:docPr id="6" name="Picture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
                    <pic:cNvPicPr>
                      <a:picLocks noChangeAspect="1" noChangeArrowheads="1"/>
                    </pic:cNvPicPr>
                  </pic:nvPicPr>
                  <pic:blipFill>
                    <a:blip r:embed="rId11"/>
                    <a:stretch>
                      <a:fillRect/>
                    </a:stretch>
                  </pic:blipFill>
                  <pic:spPr bwMode="auto">
                    <a:xfrm>
                      <a:off x="0" y="0"/>
                      <a:ext cx="777240" cy="647700"/>
                    </a:xfrm>
                    <a:prstGeom prst="rect">
                      <a:avLst/>
                    </a:prstGeom>
                  </pic:spPr>
                </pic:pic>
              </a:graphicData>
            </a:graphic>
          </wp:inline>
        </w:drawing>
      </w:r>
      <w:r>
        <w:rPr>
          <w:rFonts w:cs="Tahoma" w:ascii="Calibri" w:hAnsi="Calibri"/>
          <w:sz w:val="23"/>
          <w:szCs w:val="23"/>
        </w:rPr>
        <w:t xml:space="preserve"> </w:t>
      </w:r>
      <w:r>
        <w:rPr>
          <w:rFonts w:cs="Tahoma" w:ascii="Calibri" w:hAnsi="Calibri"/>
          <w:b/>
          <w:sz w:val="23"/>
          <w:szCs w:val="23"/>
        </w:rPr>
        <w:t>Corrosive:</w:t>
      </w:r>
      <w:r>
        <w:rPr>
          <w:rFonts w:cs="Tahoma" w:ascii="Calibri" w:hAnsi="Calibri"/>
          <w:sz w:val="23"/>
          <w:szCs w:val="23"/>
        </w:rPr>
        <w:t xml:space="preserve"> A substance which through immediate, prolonged or repeated contact with the skin of mucous mucus membrane can cause inflammation.</w:t>
      </w:r>
    </w:p>
    <w:p>
      <w:pPr>
        <w:pStyle w:val="Default"/>
        <w:rPr>
          <w:rFonts w:ascii="Calibri" w:hAnsi="Calibri" w:cs="Tahoma"/>
          <w:sz w:val="23"/>
          <w:szCs w:val="23"/>
        </w:rPr>
      </w:pPr>
      <w:r>
        <w:rPr>
          <w:rFonts w:cs="Tahoma" w:ascii="Calibri" w:hAnsi="Calibri"/>
          <w:sz w:val="23"/>
          <w:szCs w:val="23"/>
        </w:rPr>
      </w:r>
    </w:p>
    <w:p>
      <w:pPr>
        <w:pStyle w:val="Default"/>
        <w:jc w:val="both"/>
        <w:rPr>
          <w:rFonts w:ascii="Calibri" w:hAnsi="Calibri" w:cs="Tahoma"/>
          <w:sz w:val="23"/>
          <w:szCs w:val="23"/>
        </w:rPr>
      </w:pPr>
      <w:r>
        <w:rPr/>
        <w:drawing>
          <wp:inline distT="0" distB="0" distL="19050" distR="0">
            <wp:extent cx="762000" cy="617220"/>
            <wp:effectExtent l="0" t="0" r="0" b="0"/>
            <wp:docPr id="7" name="Picture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descr=""/>
                    <pic:cNvPicPr>
                      <a:picLocks noChangeAspect="1" noChangeArrowheads="1"/>
                    </pic:cNvPicPr>
                  </pic:nvPicPr>
                  <pic:blipFill>
                    <a:blip r:embed="rId12"/>
                    <a:stretch>
                      <a:fillRect/>
                    </a:stretch>
                  </pic:blipFill>
                  <pic:spPr bwMode="auto">
                    <a:xfrm>
                      <a:off x="0" y="0"/>
                      <a:ext cx="762000" cy="617220"/>
                    </a:xfrm>
                    <a:prstGeom prst="rect">
                      <a:avLst/>
                    </a:prstGeom>
                  </pic:spPr>
                </pic:pic>
              </a:graphicData>
            </a:graphic>
          </wp:inline>
        </w:drawing>
      </w:r>
      <w:r>
        <w:rPr>
          <w:rFonts w:cs="Tahoma" w:ascii="Calibri" w:hAnsi="Calibri"/>
          <w:sz w:val="23"/>
          <w:szCs w:val="23"/>
        </w:rPr>
        <w:t xml:space="preserve"> </w:t>
      </w:r>
      <w:r>
        <w:rPr>
          <w:rFonts w:cs="Tahoma" w:ascii="Calibri" w:hAnsi="Calibri"/>
          <w:b/>
          <w:sz w:val="23"/>
          <w:szCs w:val="23"/>
        </w:rPr>
        <w:t>Toxic:</w:t>
      </w:r>
      <w:r>
        <w:rPr>
          <w:rFonts w:cs="Tahoma" w:ascii="Calibri" w:hAnsi="Calibri"/>
          <w:sz w:val="23"/>
          <w:szCs w:val="23"/>
        </w:rPr>
        <w:t xml:space="preserve">  Substance that attacks the tissues and organs of the body.</w:t>
      </w:r>
    </w:p>
    <w:p>
      <w:pPr>
        <w:pStyle w:val="Default"/>
        <w:rPr>
          <w:rFonts w:ascii="Calibri" w:hAnsi="Calibri" w:cs="Tahoma"/>
          <w:sz w:val="23"/>
          <w:szCs w:val="23"/>
        </w:rPr>
      </w:pPr>
      <w:r>
        <w:rPr>
          <w:rFonts w:cs="Tahoma" w:ascii="Calibri" w:hAnsi="Calibri"/>
          <w:sz w:val="23"/>
          <w:szCs w:val="23"/>
        </w:rPr>
      </w:r>
    </w:p>
    <w:p>
      <w:pPr>
        <w:pStyle w:val="Heading2"/>
        <w:spacing w:lineRule="auto" w:line="240"/>
        <w:rPr>
          <w:rFonts w:ascii="Calibri" w:hAnsi="Calibri"/>
        </w:rPr>
      </w:pPr>
      <w:bookmarkStart w:id="18" w:name="_Toc244923562"/>
      <w:r>
        <w:rPr>
          <w:rFonts w:ascii="Calibri" w:hAnsi="Calibri"/>
        </w:rPr>
        <w:t>6.5 Radiation Safety</w:t>
      </w:r>
      <w:bookmarkEnd w:id="18"/>
      <w:r>
        <w:rPr>
          <w:rFonts w:ascii="Calibri" w:hAnsi="Calibri"/>
        </w:rPr>
        <w:t xml:space="preserve"> </w:t>
      </w:r>
    </w:p>
    <w:p>
      <w:pPr>
        <w:pStyle w:val="Default"/>
        <w:jc w:val="both"/>
        <w:rPr>
          <w:rFonts w:ascii="Calibri" w:hAnsi="Calibri" w:cs="Tahoma"/>
          <w:sz w:val="23"/>
          <w:szCs w:val="23"/>
        </w:rPr>
      </w:pPr>
      <w:r>
        <w:rPr>
          <w:rFonts w:cs="Tahoma" w:ascii="Calibri" w:hAnsi="Calibri"/>
          <w:sz w:val="23"/>
          <w:szCs w:val="23"/>
        </w:rPr>
        <w:t>All pupils are brought to their local hospital if an X-Ray is required.  Local x-ray departmental procedures must be observed if a pupil needs the assistance of a staff member whilst in the X-Ray booth.  Where this occurs, the incident must be recorded in the school Incident Book.</w:t>
      </w:r>
    </w:p>
    <w:p>
      <w:pPr>
        <w:pStyle w:val="Default"/>
        <w:jc w:val="both"/>
        <w:rPr>
          <w:rFonts w:ascii="Calibri" w:hAnsi="Calibri" w:cs="Tahoma"/>
          <w:sz w:val="23"/>
          <w:szCs w:val="23"/>
        </w:rPr>
      </w:pPr>
      <w:r>
        <w:rPr>
          <w:rFonts w:cs="Tahoma" w:ascii="Calibri" w:hAnsi="Calibri"/>
          <w:sz w:val="23"/>
          <w:szCs w:val="23"/>
        </w:rPr>
      </w:r>
    </w:p>
    <w:p>
      <w:pPr>
        <w:pStyle w:val="Heading2"/>
        <w:spacing w:lineRule="auto" w:line="240"/>
        <w:rPr>
          <w:rFonts w:ascii="Calibri" w:hAnsi="Calibri"/>
        </w:rPr>
      </w:pPr>
      <w:bookmarkStart w:id="19" w:name="_Toc244923563"/>
      <w:r>
        <w:rPr>
          <w:rFonts w:ascii="Calibri" w:hAnsi="Calibri"/>
        </w:rPr>
        <w:t>6.6 Physical and Psychological Hazards</w:t>
      </w:r>
      <w:bookmarkEnd w:id="19"/>
      <w:r>
        <w:rPr>
          <w:rFonts w:ascii="Calibri" w:hAnsi="Calibri"/>
        </w:rPr>
        <w:t xml:space="preserve"> </w:t>
      </w:r>
    </w:p>
    <w:p>
      <w:pPr>
        <w:pStyle w:val="Normal"/>
        <w:spacing w:lineRule="auto" w:line="240"/>
        <w:rPr>
          <w:rFonts w:cs="Tahoma"/>
        </w:rPr>
      </w:pPr>
      <w:r>
        <w:rPr>
          <w:rFonts w:cs="Tahoma"/>
        </w:rPr>
      </w:r>
    </w:p>
    <w:p>
      <w:pPr>
        <w:pStyle w:val="Heading3"/>
        <w:rPr/>
      </w:pPr>
      <w:r>
        <w:rPr/>
        <w:t xml:space="preserve">6.6.1 Furniture </w:t>
      </w:r>
    </w:p>
    <w:p>
      <w:pPr>
        <w:pStyle w:val="Default"/>
        <w:jc w:val="both"/>
        <w:rPr>
          <w:rFonts w:ascii="Calibri" w:hAnsi="Calibri" w:cs="Tahoma"/>
          <w:sz w:val="23"/>
          <w:szCs w:val="23"/>
        </w:rPr>
      </w:pPr>
      <w:r>
        <w:rPr>
          <w:rFonts w:cs="Tahoma" w:ascii="Calibri" w:hAnsi="Calibri"/>
          <w:sz w:val="23"/>
          <w:szCs w:val="23"/>
        </w:rPr>
        <w:t xml:space="preserve">The School is committed to the purchase of robust, comfortable furniture, ergonomically sound and adequate for the environment in which it is to be used. All furniture should be used solely for the purpose for which it was intended. In an event of any item of furniture becoming damaged to the extent that it is unsafe, it should be immediately removed from service by the person discovering its unsafe state to prevent its accidental reuse before repair. </w:t>
      </w:r>
    </w:p>
    <w:p>
      <w:pPr>
        <w:pStyle w:val="Default"/>
        <w:jc w:val="both"/>
        <w:rPr>
          <w:rFonts w:ascii="Calibri" w:hAnsi="Calibri" w:cs="Tahoma"/>
          <w:sz w:val="23"/>
          <w:szCs w:val="23"/>
        </w:rPr>
      </w:pPr>
      <w:r>
        <w:rPr>
          <w:rFonts w:cs="Tahoma" w:ascii="Calibri" w:hAnsi="Calibri"/>
          <w:sz w:val="23"/>
          <w:szCs w:val="23"/>
        </w:rPr>
      </w:r>
    </w:p>
    <w:p>
      <w:pPr>
        <w:pStyle w:val="Default"/>
        <w:jc w:val="both"/>
        <w:rPr>
          <w:rFonts w:ascii="Calibri" w:hAnsi="Calibri" w:cs="Tahoma"/>
          <w:sz w:val="23"/>
          <w:szCs w:val="23"/>
        </w:rPr>
      </w:pPr>
      <w:r>
        <w:rPr>
          <w:rFonts w:cs="Tahoma" w:ascii="Calibri" w:hAnsi="Calibri"/>
          <w:sz w:val="23"/>
          <w:szCs w:val="23"/>
        </w:rPr>
        <w:t>All staff with responsibility for purchasing works equipment and/or responsible for supervising its use in the School, as appropriate must ensure that the following.</w:t>
      </w:r>
    </w:p>
    <w:p>
      <w:pPr>
        <w:pStyle w:val="Default"/>
        <w:jc w:val="both"/>
        <w:rPr>
          <w:rFonts w:ascii="Calibri" w:hAnsi="Calibri" w:cs="Tahoma"/>
          <w:sz w:val="23"/>
          <w:szCs w:val="23"/>
        </w:rPr>
      </w:pPr>
      <w:r>
        <w:rPr>
          <w:rFonts w:cs="Tahoma" w:ascii="Calibri" w:hAnsi="Calibri"/>
          <w:sz w:val="23"/>
          <w:szCs w:val="23"/>
        </w:rPr>
      </w:r>
    </w:p>
    <w:p>
      <w:pPr>
        <w:pStyle w:val="Default"/>
        <w:numPr>
          <w:ilvl w:val="0"/>
          <w:numId w:val="48"/>
        </w:numPr>
        <w:ind w:left="426" w:hanging="426"/>
        <w:jc w:val="both"/>
        <w:rPr>
          <w:rFonts w:ascii="Calibri" w:hAnsi="Calibri" w:cs="Tahoma"/>
          <w:sz w:val="23"/>
          <w:szCs w:val="23"/>
        </w:rPr>
      </w:pPr>
      <w:r>
        <w:rPr>
          <w:rFonts w:cs="Tahoma" w:ascii="Calibri" w:hAnsi="Calibri"/>
          <w:sz w:val="23"/>
          <w:szCs w:val="23"/>
        </w:rPr>
        <w:t xml:space="preserve">The necessary measures are taken so that work equipment is suitable for the work to be carried out or that it is properly adapted for that purpose and may be used by employees without risk to their safety and health </w:t>
      </w:r>
    </w:p>
    <w:p>
      <w:pPr>
        <w:pStyle w:val="Default"/>
        <w:numPr>
          <w:ilvl w:val="0"/>
          <w:numId w:val="48"/>
        </w:numPr>
        <w:ind w:left="426" w:hanging="426"/>
        <w:jc w:val="both"/>
        <w:rPr>
          <w:rFonts w:ascii="Calibri" w:hAnsi="Calibri" w:cs="Tahoma"/>
          <w:sz w:val="23"/>
          <w:szCs w:val="23"/>
        </w:rPr>
      </w:pPr>
      <w:r>
        <w:rPr>
          <w:rFonts w:cs="Tahoma" w:ascii="Calibri" w:hAnsi="Calibri"/>
          <w:sz w:val="23"/>
          <w:szCs w:val="23"/>
        </w:rPr>
        <w:t xml:space="preserve">The selection of work equipment has taken account of the specific working conditions, characteristics and hazards of the place of work, and any additional hazards posed by the use of such equipment </w:t>
      </w:r>
    </w:p>
    <w:p>
      <w:pPr>
        <w:pStyle w:val="Default"/>
        <w:numPr>
          <w:ilvl w:val="0"/>
          <w:numId w:val="48"/>
        </w:numPr>
        <w:ind w:left="426" w:hanging="426"/>
        <w:jc w:val="both"/>
        <w:rPr>
          <w:rFonts w:ascii="Calibri" w:hAnsi="Calibri" w:cs="Tahoma"/>
          <w:sz w:val="23"/>
          <w:szCs w:val="23"/>
        </w:rPr>
      </w:pPr>
      <w:r>
        <w:rPr>
          <w:rFonts w:cs="Tahoma" w:ascii="Calibri" w:hAnsi="Calibri"/>
          <w:sz w:val="23"/>
          <w:szCs w:val="23"/>
        </w:rPr>
        <w:t xml:space="preserve">If it is not possible to ensure that work equipment can be used without risk to health and safety, then appropriate measures are taken to minimise these risks. </w:t>
      </w:r>
    </w:p>
    <w:p>
      <w:pPr>
        <w:pStyle w:val="Default"/>
        <w:numPr>
          <w:ilvl w:val="0"/>
          <w:numId w:val="48"/>
        </w:numPr>
        <w:ind w:left="426" w:hanging="426"/>
        <w:jc w:val="both"/>
        <w:rPr>
          <w:rFonts w:ascii="Calibri" w:hAnsi="Calibri" w:cs="Tahoma"/>
          <w:sz w:val="23"/>
          <w:szCs w:val="23"/>
        </w:rPr>
      </w:pPr>
      <w:r>
        <w:rPr>
          <w:rFonts w:cs="Tahoma" w:ascii="Calibri" w:hAnsi="Calibri"/>
          <w:sz w:val="23"/>
          <w:szCs w:val="23"/>
        </w:rPr>
        <w:t xml:space="preserve">Work equipment while in use must be properly maintained. </w:t>
      </w:r>
    </w:p>
    <w:p>
      <w:pPr>
        <w:pStyle w:val="Default"/>
        <w:rPr>
          <w:rFonts w:ascii="Calibri" w:hAnsi="Calibri" w:cs="Tahoma"/>
          <w:sz w:val="23"/>
          <w:szCs w:val="23"/>
        </w:rPr>
      </w:pPr>
      <w:r>
        <w:rPr>
          <w:rFonts w:cs="Tahoma" w:ascii="Calibri" w:hAnsi="Calibri"/>
          <w:sz w:val="23"/>
          <w:szCs w:val="23"/>
        </w:rPr>
      </w:r>
    </w:p>
    <w:p>
      <w:pPr>
        <w:pStyle w:val="Heading3"/>
        <w:rPr/>
      </w:pPr>
      <w:r>
        <w:rPr/>
        <w:t xml:space="preserve">6.6.2 Noise – Low </w:t>
      </w:r>
    </w:p>
    <w:p>
      <w:pPr>
        <w:pStyle w:val="Default"/>
        <w:jc w:val="both"/>
        <w:rPr>
          <w:rFonts w:ascii="Calibri" w:hAnsi="Calibri" w:cs="Tahoma"/>
          <w:sz w:val="23"/>
          <w:szCs w:val="23"/>
        </w:rPr>
      </w:pPr>
      <w:r>
        <w:rPr>
          <w:rFonts w:cs="Tahoma" w:ascii="Calibri" w:hAnsi="Calibri"/>
          <w:sz w:val="23"/>
          <w:szCs w:val="23"/>
        </w:rPr>
        <w:t xml:space="preserve">It is the responsibility of the BOM to ensure that the Safety Health &amp; Welfare at Work (General Application) Regulations SI 299 of 2007 are strictly adhered to. In assessing noise, the first action level is 80dB the critical level of noise to note is 85dB. Sound levels above 85dB must if possible be reduced by providing sound absorbing enclosures, vibration controls or other means. If this is not feasible, hearing protection must be supplied and worn. </w:t>
      </w:r>
    </w:p>
    <w:p>
      <w:pPr>
        <w:pStyle w:val="Default"/>
        <w:jc w:val="both"/>
        <w:rPr>
          <w:rFonts w:ascii="Calibri" w:hAnsi="Calibri" w:cs="Tahoma"/>
          <w:sz w:val="23"/>
          <w:szCs w:val="23"/>
        </w:rPr>
      </w:pPr>
      <w:r>
        <w:rPr>
          <w:rFonts w:cs="Tahoma" w:ascii="Calibri" w:hAnsi="Calibri"/>
          <w:sz w:val="23"/>
          <w:szCs w:val="23"/>
        </w:rPr>
      </w:r>
    </w:p>
    <w:p>
      <w:pPr>
        <w:pStyle w:val="Heading3"/>
        <w:rPr/>
      </w:pPr>
      <w:r>
        <w:rPr/>
        <w:t>6.6.3 Vibration - Low</w:t>
      </w:r>
    </w:p>
    <w:p>
      <w:pPr>
        <w:pStyle w:val="Normal"/>
        <w:spacing w:lineRule="auto" w:line="240"/>
        <w:jc w:val="both"/>
        <w:rPr>
          <w:rFonts w:cs="Tahoma"/>
        </w:rPr>
      </w:pPr>
      <w:r>
        <w:rPr>
          <w:rFonts w:cs="Tahoma"/>
        </w:rPr>
        <w:t xml:space="preserve">Occupational exposure to vibration can be divided into hand/ arm vibration and whole body vibration. Vibration is considered to be a classical risk in the working environment. There is a general lack of awareness in relation to both the health problems posed by vibrating equipment and machinery, particularly that causing whole body vibration and of the controls measures available to eliminate or reduce exposure at source. Exposure to cold weather might be a contributory factor for the increasing severity of a vibration-induced injury. </w:t>
      </w:r>
    </w:p>
    <w:p>
      <w:pPr>
        <w:pStyle w:val="Normal"/>
        <w:spacing w:lineRule="auto" w:line="240"/>
        <w:jc w:val="both"/>
        <w:rPr>
          <w:rFonts w:cs="Tahoma"/>
        </w:rPr>
      </w:pPr>
      <w:r>
        <w:rPr>
          <w:rFonts w:cs="Tahoma"/>
        </w:rPr>
        <w:t xml:space="preserve">Machinery and/or tools, which expose employees to vibration, should be reduced at the source, if this is not reasonably practicable, staff that are working with machinery that may cause whole body vibration or hand/arm vibration must wear the appropriate personal protective equipment. Staff are responsible for their own use of Personal Protective Equipment. Heads of Departments are responsible for supervising the use Personal Protective Equipment in these situations. </w:t>
      </w:r>
    </w:p>
    <w:p>
      <w:pPr>
        <w:pStyle w:val="Normal"/>
        <w:spacing w:lineRule="auto" w:line="240"/>
        <w:jc w:val="both"/>
        <w:rPr>
          <w:rFonts w:cs="Tahoma"/>
        </w:rPr>
      </w:pPr>
      <w:r>
        <w:rPr>
          <w:rFonts w:cs="Tahoma"/>
        </w:rPr>
        <w:t xml:space="preserve">Equipment will be carefully maintained in accordance with the manufacturer's instructions. Arrangements should be made for medical screening of employees prior to employment in this type of work, and at regular intervals thereafter for as long as the worker continues to be exposed to vibration. Employees should be encouraged to report and demonstrate finger blanching when it first occurs and if there is deterioration. All individuals who use vibrating equipment should be advised of the risk of exposure to hand arm vibration. </w:t>
      </w:r>
    </w:p>
    <w:p>
      <w:pPr>
        <w:pStyle w:val="Normal"/>
        <w:spacing w:lineRule="auto" w:line="240"/>
        <w:jc w:val="both"/>
        <w:rPr>
          <w:rFonts w:cs="Tahoma"/>
          <w:i/>
          <w:i/>
        </w:rPr>
      </w:pPr>
      <w:r>
        <w:rPr>
          <w:rFonts w:cs="Tahoma"/>
          <w:i/>
        </w:rPr>
      </w:r>
    </w:p>
    <w:p>
      <w:pPr>
        <w:pStyle w:val="Heading3"/>
        <w:rPr/>
      </w:pPr>
      <w:r>
        <w:rPr/>
        <w:t xml:space="preserve">6.6.4 Light </w:t>
      </w:r>
    </w:p>
    <w:p>
      <w:pPr>
        <w:pStyle w:val="Default"/>
        <w:jc w:val="both"/>
        <w:rPr>
          <w:rFonts w:ascii="Calibri" w:hAnsi="Calibri" w:cs="Tahoma"/>
          <w:sz w:val="23"/>
          <w:szCs w:val="23"/>
        </w:rPr>
      </w:pPr>
      <w:r>
        <w:rPr>
          <w:rFonts w:cs="Tahoma" w:ascii="Calibri" w:hAnsi="Calibri"/>
          <w:sz w:val="23"/>
          <w:szCs w:val="23"/>
        </w:rPr>
        <w:t xml:space="preserve">The following principles should be applied in the workplace to have the appropriate level of lighting and the appropriate balance between natural and artificial light. </w:t>
      </w:r>
    </w:p>
    <w:p>
      <w:pPr>
        <w:pStyle w:val="Default"/>
        <w:jc w:val="both"/>
        <w:rPr>
          <w:rFonts w:ascii="Calibri" w:hAnsi="Calibri" w:cs="Tahoma"/>
          <w:sz w:val="23"/>
          <w:szCs w:val="23"/>
        </w:rPr>
      </w:pPr>
      <w:r>
        <w:rPr>
          <w:rFonts w:cs="Tahoma" w:ascii="Calibri" w:hAnsi="Calibri"/>
          <w:sz w:val="23"/>
          <w:szCs w:val="23"/>
        </w:rPr>
      </w:r>
    </w:p>
    <w:p>
      <w:pPr>
        <w:pStyle w:val="Default"/>
        <w:numPr>
          <w:ilvl w:val="1"/>
          <w:numId w:val="24"/>
        </w:numPr>
        <w:ind w:left="284" w:hanging="284"/>
        <w:rPr>
          <w:rFonts w:ascii="Calibri" w:hAnsi="Calibri" w:cs="Tahoma"/>
          <w:sz w:val="23"/>
          <w:szCs w:val="23"/>
        </w:rPr>
      </w:pPr>
      <w:r>
        <w:rPr>
          <w:rFonts w:cs="Tahoma" w:ascii="Calibri" w:hAnsi="Calibri"/>
          <w:sz w:val="23"/>
          <w:szCs w:val="23"/>
        </w:rPr>
        <w:t xml:space="preserve">Have adequate task illumination. </w:t>
      </w:r>
    </w:p>
    <w:p>
      <w:pPr>
        <w:pStyle w:val="Default"/>
        <w:numPr>
          <w:ilvl w:val="1"/>
          <w:numId w:val="24"/>
        </w:numPr>
        <w:ind w:left="284" w:hanging="284"/>
        <w:rPr>
          <w:rFonts w:ascii="Calibri" w:hAnsi="Calibri" w:cs="Tahoma"/>
          <w:sz w:val="23"/>
          <w:szCs w:val="23"/>
        </w:rPr>
      </w:pPr>
      <w:r>
        <w:rPr>
          <w:rFonts w:cs="Tahoma" w:ascii="Calibri" w:hAnsi="Calibri"/>
          <w:sz w:val="23"/>
          <w:szCs w:val="23"/>
        </w:rPr>
        <w:t xml:space="preserve">Avoid veiling reflections. </w:t>
      </w:r>
    </w:p>
    <w:p>
      <w:pPr>
        <w:pStyle w:val="Default"/>
        <w:numPr>
          <w:ilvl w:val="1"/>
          <w:numId w:val="24"/>
        </w:numPr>
        <w:ind w:left="284" w:hanging="284"/>
        <w:rPr>
          <w:rFonts w:ascii="Calibri" w:hAnsi="Calibri" w:cs="Tahoma"/>
          <w:sz w:val="23"/>
          <w:szCs w:val="23"/>
        </w:rPr>
      </w:pPr>
      <w:r>
        <w:rPr>
          <w:rFonts w:cs="Tahoma" w:ascii="Calibri" w:hAnsi="Calibri"/>
          <w:sz w:val="23"/>
          <w:szCs w:val="23"/>
        </w:rPr>
        <w:t xml:space="preserve">Avoid glare. </w:t>
      </w:r>
    </w:p>
    <w:p>
      <w:pPr>
        <w:pStyle w:val="Default"/>
        <w:numPr>
          <w:ilvl w:val="1"/>
          <w:numId w:val="24"/>
        </w:numPr>
        <w:ind w:left="284" w:hanging="284"/>
        <w:rPr>
          <w:rFonts w:ascii="Calibri" w:hAnsi="Calibri" w:cs="Tahoma"/>
          <w:sz w:val="23"/>
          <w:szCs w:val="23"/>
        </w:rPr>
      </w:pPr>
      <w:r>
        <w:rPr>
          <w:rFonts w:cs="Tahoma" w:ascii="Calibri" w:hAnsi="Calibri"/>
          <w:sz w:val="23"/>
          <w:szCs w:val="23"/>
        </w:rPr>
        <w:t xml:space="preserve">Avoid excessive ranges of illumination between adjacent areas. </w:t>
      </w:r>
    </w:p>
    <w:p>
      <w:pPr>
        <w:pStyle w:val="Default"/>
        <w:numPr>
          <w:ilvl w:val="1"/>
          <w:numId w:val="24"/>
        </w:numPr>
        <w:ind w:left="284" w:hanging="284"/>
        <w:rPr>
          <w:rFonts w:ascii="Calibri" w:hAnsi="Calibri" w:cs="Tahoma"/>
          <w:sz w:val="23"/>
          <w:szCs w:val="23"/>
        </w:rPr>
      </w:pPr>
      <w:r>
        <w:rPr>
          <w:rFonts w:cs="Tahoma" w:ascii="Calibri" w:hAnsi="Calibri"/>
          <w:sz w:val="23"/>
          <w:szCs w:val="23"/>
        </w:rPr>
        <w:t xml:space="preserve">Avoid excessive ranges of illumination in the work area. </w:t>
      </w:r>
    </w:p>
    <w:p>
      <w:pPr>
        <w:pStyle w:val="Default"/>
        <w:numPr>
          <w:ilvl w:val="1"/>
          <w:numId w:val="24"/>
        </w:numPr>
        <w:ind w:left="284" w:hanging="284"/>
        <w:rPr>
          <w:rFonts w:ascii="Calibri" w:hAnsi="Calibri" w:cs="Tahoma"/>
          <w:sz w:val="23"/>
          <w:szCs w:val="23"/>
        </w:rPr>
      </w:pPr>
      <w:r>
        <w:rPr>
          <w:rFonts w:cs="Tahoma" w:ascii="Calibri" w:hAnsi="Calibri"/>
          <w:sz w:val="23"/>
          <w:szCs w:val="23"/>
        </w:rPr>
        <w:t xml:space="preserve">Avoid flicker in light sources. </w:t>
      </w:r>
    </w:p>
    <w:p>
      <w:pPr>
        <w:pStyle w:val="Default"/>
        <w:numPr>
          <w:ilvl w:val="1"/>
          <w:numId w:val="24"/>
        </w:numPr>
        <w:ind w:left="284" w:hanging="284"/>
        <w:rPr>
          <w:rFonts w:ascii="Calibri" w:hAnsi="Calibri" w:cs="Tahoma"/>
          <w:sz w:val="23"/>
          <w:szCs w:val="23"/>
        </w:rPr>
      </w:pPr>
      <w:r>
        <w:rPr>
          <w:rFonts w:cs="Tahoma" w:ascii="Calibri" w:hAnsi="Calibri"/>
          <w:sz w:val="23"/>
          <w:szCs w:val="23"/>
        </w:rPr>
        <w:t>Avoid flicker on visual display screens.</w:t>
      </w:r>
    </w:p>
    <w:p>
      <w:pPr>
        <w:pStyle w:val="Default"/>
        <w:numPr>
          <w:ilvl w:val="1"/>
          <w:numId w:val="24"/>
        </w:numPr>
        <w:ind w:left="284" w:hanging="284"/>
        <w:rPr>
          <w:rFonts w:ascii="Calibri" w:hAnsi="Calibri" w:cs="Tahoma"/>
          <w:sz w:val="23"/>
          <w:szCs w:val="23"/>
        </w:rPr>
      </w:pPr>
      <w:r>
        <w:rPr>
          <w:rFonts w:cs="Tahoma" w:ascii="Calibri" w:hAnsi="Calibri"/>
          <w:sz w:val="23"/>
          <w:szCs w:val="23"/>
        </w:rPr>
        <w:t xml:space="preserve">Energy saving lighting has been installed in common access areas and corridors. Where this lighting is found to be insufficient for the task, it will be supplemented. </w:t>
      </w:r>
    </w:p>
    <w:p>
      <w:pPr>
        <w:pStyle w:val="Heading3"/>
        <w:rPr/>
      </w:pPr>
      <w:r>
        <w:rPr/>
        <w:t xml:space="preserve">6.6.5 Temperature </w:t>
      </w:r>
    </w:p>
    <w:p>
      <w:pPr>
        <w:pStyle w:val="Default"/>
        <w:jc w:val="both"/>
        <w:rPr>
          <w:rFonts w:ascii="Calibri" w:hAnsi="Calibri" w:cs="Tahoma"/>
          <w:sz w:val="23"/>
          <w:szCs w:val="23"/>
        </w:rPr>
      </w:pPr>
      <w:r>
        <w:rPr>
          <w:rFonts w:cs="Tahoma" w:ascii="Calibri" w:hAnsi="Calibri"/>
          <w:sz w:val="23"/>
          <w:szCs w:val="23"/>
        </w:rPr>
        <w:t xml:space="preserve">Environmental temperatures can affect a person’s performance at work. Working in extreme temperatures of hot or cold conditions places a worker at greater risk. Some of the physical and psychological hazards include increased heart rate, stress, and fatigue. Comfortable ambient temperature levels for all staff work areas should be maintained within all departments, and appropriate personal protection equipment or provisions provided when temperature are above or below comfortable levels. </w:t>
      </w:r>
    </w:p>
    <w:p>
      <w:pPr>
        <w:pStyle w:val="Default"/>
        <w:jc w:val="both"/>
        <w:rPr>
          <w:rFonts w:ascii="Calibri" w:hAnsi="Calibri" w:cs="Tahoma"/>
          <w:sz w:val="23"/>
          <w:szCs w:val="23"/>
        </w:rPr>
      </w:pPr>
      <w:r>
        <w:rPr>
          <w:rFonts w:cs="Tahoma" w:ascii="Calibri" w:hAnsi="Calibri"/>
          <w:sz w:val="23"/>
          <w:szCs w:val="23"/>
        </w:rPr>
      </w:r>
    </w:p>
    <w:p>
      <w:pPr>
        <w:pStyle w:val="Heading3"/>
        <w:rPr/>
      </w:pPr>
      <w:r>
        <w:rPr/>
        <w:t xml:space="preserve">6.6.6 Climbing – Access to high shelves. </w:t>
      </w:r>
    </w:p>
    <w:p>
      <w:pPr>
        <w:pStyle w:val="Default"/>
        <w:jc w:val="both"/>
        <w:rPr>
          <w:rFonts w:ascii="Calibri" w:hAnsi="Calibri" w:cs="Tahoma"/>
          <w:sz w:val="23"/>
          <w:szCs w:val="23"/>
        </w:rPr>
      </w:pPr>
      <w:r>
        <w:rPr>
          <w:rFonts w:cs="Tahoma" w:ascii="Calibri" w:hAnsi="Calibri"/>
          <w:sz w:val="23"/>
          <w:szCs w:val="23"/>
        </w:rPr>
        <w:t xml:space="preserve">Where it is unavoidable and necessary to climb, a proper stepladder or step stool will be used. Do not use chairs, desks or boxes.   </w:t>
      </w:r>
    </w:p>
    <w:p>
      <w:pPr>
        <w:pStyle w:val="Default"/>
        <w:jc w:val="both"/>
        <w:rPr>
          <w:rFonts w:ascii="Calibri" w:hAnsi="Calibri" w:cs="Tahoma"/>
          <w:sz w:val="23"/>
          <w:szCs w:val="23"/>
        </w:rPr>
      </w:pPr>
      <w:r>
        <w:rPr>
          <w:rFonts w:cs="Tahoma" w:ascii="Calibri" w:hAnsi="Calibri"/>
          <w:sz w:val="23"/>
          <w:szCs w:val="23"/>
        </w:rPr>
      </w:r>
    </w:p>
    <w:p>
      <w:pPr>
        <w:pStyle w:val="Heading3"/>
        <w:rPr/>
      </w:pPr>
      <w:r>
        <w:rPr/>
        <w:t xml:space="preserve">6.6.7 Office Machinery </w:t>
      </w:r>
    </w:p>
    <w:p>
      <w:pPr>
        <w:pStyle w:val="Default"/>
        <w:jc w:val="both"/>
        <w:rPr>
          <w:rFonts w:ascii="Calibri" w:hAnsi="Calibri" w:cs="Tahoma"/>
          <w:sz w:val="23"/>
          <w:szCs w:val="23"/>
        </w:rPr>
      </w:pPr>
      <w:r>
        <w:rPr/>
        <w:t xml:space="preserve">Togher Boys’ </w:t>
      </w:r>
      <w:r>
        <w:rPr>
          <w:rFonts w:cs="Tahoma" w:ascii="Calibri" w:hAnsi="Calibri"/>
          <w:sz w:val="23"/>
          <w:szCs w:val="23"/>
        </w:rPr>
        <w:t xml:space="preserve">NATIONAL SCHOOL will purchase only office machinery compliant with all relevant Irish and European standards of safety. All office equipment must be operated strictly in accordance with the manufacturer’s instructions. Under no circumstances should any guards be removed from any of these machines. </w:t>
      </w:r>
    </w:p>
    <w:p>
      <w:pPr>
        <w:pStyle w:val="Default"/>
        <w:jc w:val="both"/>
        <w:rPr>
          <w:rFonts w:ascii="Calibri" w:hAnsi="Calibri" w:cs="Tahoma"/>
          <w:sz w:val="23"/>
          <w:szCs w:val="23"/>
        </w:rPr>
      </w:pPr>
      <w:r>
        <w:rPr>
          <w:rFonts w:cs="Tahoma" w:ascii="Calibri" w:hAnsi="Calibri"/>
          <w:sz w:val="23"/>
          <w:szCs w:val="23"/>
        </w:rPr>
      </w:r>
    </w:p>
    <w:p>
      <w:pPr>
        <w:pStyle w:val="Heading3"/>
        <w:shd w:val="clear" w:color="auto" w:fill="FFFFFF"/>
        <w:rPr/>
      </w:pPr>
      <w:r>
        <w:rPr/>
        <w:t xml:space="preserve">6.6.8 Violence and Aggression </w:t>
      </w:r>
    </w:p>
    <w:p>
      <w:pPr>
        <w:pStyle w:val="Default"/>
        <w:shd w:val="clear" w:color="auto" w:fill="FFFFFF"/>
        <w:jc w:val="both"/>
        <w:rPr>
          <w:rFonts w:ascii="Calibri" w:hAnsi="Calibri" w:cs="Tahoma"/>
          <w:sz w:val="23"/>
          <w:szCs w:val="23"/>
        </w:rPr>
      </w:pPr>
      <w:r>
        <w:rPr>
          <w:rFonts w:cs="Tahoma" w:ascii="Calibri" w:hAnsi="Calibri"/>
          <w:sz w:val="23"/>
          <w:szCs w:val="23"/>
        </w:rPr>
        <w:t>Violence and/or aggression in the workplace are not acceptable. All elements that contribute to the occurrence of aggression and violence must be considered. Circumstances and areas where violence is most likely to be expected such as the threat of challenging behaviour should be identified and the training required for employees evaluated. Where there are risks to the health and safety of employees, appropriate safeguards must be put in place.  In areas where staff require training to deal with a violent or aggressive situation, Studio 111 training is provided.</w:t>
      </w:r>
    </w:p>
    <w:p>
      <w:pPr>
        <w:pStyle w:val="Default"/>
        <w:shd w:val="clear" w:color="auto" w:fill="FFFFFF"/>
        <w:rPr>
          <w:rFonts w:ascii="Calibri" w:hAnsi="Calibri" w:cs="Tahoma"/>
          <w:sz w:val="23"/>
          <w:szCs w:val="23"/>
        </w:rPr>
      </w:pPr>
      <w:r>
        <w:rPr>
          <w:rFonts w:cs="Tahoma" w:ascii="Calibri" w:hAnsi="Calibri"/>
          <w:sz w:val="23"/>
          <w:szCs w:val="23"/>
        </w:rPr>
      </w:r>
    </w:p>
    <w:p>
      <w:pPr>
        <w:pStyle w:val="Heading3"/>
        <w:rPr/>
      </w:pPr>
      <w:r>
        <w:rPr/>
        <w:t xml:space="preserve">6.6.9 Prevention of Bullying </w:t>
      </w:r>
    </w:p>
    <w:p>
      <w:pPr>
        <w:pStyle w:val="Default"/>
        <w:jc w:val="both"/>
        <w:rPr>
          <w:rFonts w:ascii="Calibri" w:hAnsi="Calibri" w:cs="Tahoma"/>
          <w:sz w:val="23"/>
          <w:szCs w:val="23"/>
        </w:rPr>
      </w:pPr>
      <w:r>
        <w:rPr>
          <w:rFonts w:cs="Tahoma" w:ascii="Calibri" w:hAnsi="Calibri"/>
          <w:sz w:val="23"/>
          <w:szCs w:val="23"/>
        </w:rPr>
        <w:t>“</w:t>
      </w:r>
      <w:r>
        <w:rPr>
          <w:rFonts w:cs="Tahoma" w:ascii="Calibri" w:hAnsi="Calibri"/>
          <w:sz w:val="23"/>
          <w:szCs w:val="23"/>
        </w:rPr>
        <w:t>Workplace bullying is repeated inappropriate behaviour, whether direct or indirect, whether physical, verbal or otherwise, conducted by one or more persons against another or others at the place of work and/or during the course of employment, which could be reasonably regarded as undermining an individual’s right to dignity at work” (</w:t>
      </w:r>
      <w:r>
        <w:rPr>
          <w:rFonts w:cs="Tahoma" w:ascii="Calibri" w:hAnsi="Calibri"/>
          <w:sz w:val="20"/>
          <w:szCs w:val="23"/>
        </w:rPr>
        <w:t>As defined in the Report of the Task Force on the Prevention of Bullying in the Workplace, published by the Stationary Office, March 2001 and the Code of Practice issued in 2007</w:t>
      </w:r>
      <w:r>
        <w:rPr>
          <w:rFonts w:cs="Tahoma" w:ascii="Calibri" w:hAnsi="Calibri"/>
          <w:sz w:val="23"/>
          <w:szCs w:val="23"/>
        </w:rPr>
        <w:t>).</w:t>
      </w:r>
    </w:p>
    <w:p>
      <w:pPr>
        <w:pStyle w:val="Default"/>
        <w:jc w:val="both"/>
        <w:rPr>
          <w:rFonts w:ascii="Calibri" w:hAnsi="Calibri" w:cs="Tahoma"/>
          <w:sz w:val="23"/>
          <w:szCs w:val="23"/>
        </w:rPr>
      </w:pPr>
      <w:r>
        <w:rPr>
          <w:rFonts w:cs="Tahoma" w:ascii="Calibri" w:hAnsi="Calibri"/>
          <w:sz w:val="23"/>
          <w:szCs w:val="23"/>
        </w:rPr>
      </w:r>
    </w:p>
    <w:p>
      <w:pPr>
        <w:pStyle w:val="Default"/>
        <w:jc w:val="both"/>
        <w:rPr>
          <w:rFonts w:ascii="Calibri" w:hAnsi="Calibri" w:cs="Tahoma"/>
          <w:sz w:val="23"/>
          <w:szCs w:val="23"/>
        </w:rPr>
      </w:pPr>
      <w:r>
        <w:rPr>
          <w:rFonts w:cs="Tahoma" w:ascii="Calibri" w:hAnsi="Calibri"/>
          <w:sz w:val="23"/>
          <w:szCs w:val="23"/>
        </w:rPr>
        <w:t xml:space="preserve">Workplace bullying is not acceptable in </w:t>
      </w:r>
      <w:r>
        <w:rPr/>
        <w:t xml:space="preserve">Togher Boys’ </w:t>
      </w:r>
      <w:r>
        <w:rPr>
          <w:rFonts w:cs="Tahoma" w:ascii="Calibri" w:hAnsi="Calibri"/>
          <w:sz w:val="23"/>
          <w:szCs w:val="23"/>
        </w:rPr>
        <w:t xml:space="preserve">NATIONAL SCHOOL. Bullying can take the form of various behaviours, including behaviours that may humiliate, intimidate, verbally abuse, victimise, exclude or isolate the victim. Bullying take also take the form of repeated impossible deadlines or tasks and/or unreasonable assignments to duties. </w:t>
      </w:r>
    </w:p>
    <w:p>
      <w:pPr>
        <w:pStyle w:val="Default"/>
        <w:jc w:val="both"/>
        <w:rPr>
          <w:rFonts w:ascii="Calibri" w:hAnsi="Calibri" w:cs="Tahoma"/>
          <w:sz w:val="23"/>
          <w:szCs w:val="23"/>
        </w:rPr>
      </w:pPr>
      <w:r>
        <w:rPr>
          <w:rFonts w:cs="Tahoma" w:ascii="Calibri" w:hAnsi="Calibri"/>
          <w:sz w:val="23"/>
          <w:szCs w:val="23"/>
        </w:rPr>
      </w:r>
    </w:p>
    <w:p>
      <w:pPr>
        <w:pStyle w:val="Default"/>
        <w:jc w:val="both"/>
        <w:rPr>
          <w:rFonts w:ascii="Calibri" w:hAnsi="Calibri" w:cs="Tahoma"/>
          <w:sz w:val="23"/>
          <w:szCs w:val="23"/>
        </w:rPr>
      </w:pPr>
      <w:r>
        <w:rPr>
          <w:rFonts w:cs="Tahoma" w:ascii="Calibri" w:hAnsi="Calibri"/>
          <w:sz w:val="23"/>
          <w:szCs w:val="23"/>
        </w:rPr>
        <w:t xml:space="preserve">Each employee is responsible for safeguarding his/her health and safety while at work, and also for the health and safety of his/her colleagues that may be directly/indirectly affected by his/her actions or omissions of action while at work. </w:t>
      </w:r>
    </w:p>
    <w:p>
      <w:pPr>
        <w:pStyle w:val="Default"/>
        <w:jc w:val="both"/>
        <w:rPr>
          <w:rFonts w:ascii="Calibri" w:hAnsi="Calibri" w:cs="Tahoma"/>
          <w:sz w:val="23"/>
          <w:szCs w:val="23"/>
        </w:rPr>
      </w:pPr>
      <w:r>
        <w:rPr>
          <w:rFonts w:cs="Tahoma" w:ascii="Calibri" w:hAnsi="Calibri"/>
          <w:sz w:val="23"/>
          <w:szCs w:val="23"/>
        </w:rPr>
      </w:r>
    </w:p>
    <w:p>
      <w:pPr>
        <w:pStyle w:val="Default"/>
        <w:jc w:val="both"/>
        <w:rPr>
          <w:rFonts w:ascii="Calibri" w:hAnsi="Calibri" w:cs="Tahoma"/>
          <w:sz w:val="23"/>
          <w:szCs w:val="23"/>
        </w:rPr>
      </w:pPr>
      <w:r>
        <w:rPr>
          <w:rFonts w:cs="Tahoma" w:ascii="Calibri" w:hAnsi="Calibri"/>
          <w:sz w:val="23"/>
          <w:szCs w:val="23"/>
        </w:rPr>
        <w:t>If you think you are a victim of workplace bullying, or have any complaints in relation to workplace bullying please consult the School Dignity at Work Policy or contact the Human Resource Department, where the matter will be dealt with.  The School has a Dignity at Work Policy (Anti bullying and anti harassment Policy) which endeavours to adhere to the HSA Code of Practice for Employers and Employees on the Prevention and Resolution of Bullying at Work. This is a National Framework Document which is reviewed regularly.</w:t>
      </w:r>
    </w:p>
    <w:p>
      <w:pPr>
        <w:pStyle w:val="Default"/>
        <w:jc w:val="both"/>
        <w:rPr>
          <w:rFonts w:ascii="Calibri" w:hAnsi="Calibri" w:cs="Tahoma"/>
          <w:sz w:val="23"/>
          <w:szCs w:val="23"/>
        </w:rPr>
      </w:pPr>
      <w:r>
        <w:rPr>
          <w:rFonts w:cs="Tahoma" w:ascii="Calibri" w:hAnsi="Calibri"/>
          <w:sz w:val="23"/>
          <w:szCs w:val="23"/>
        </w:rPr>
      </w:r>
    </w:p>
    <w:p>
      <w:pPr>
        <w:pStyle w:val="Heading3"/>
        <w:rPr/>
      </w:pPr>
      <w:r>
        <w:rPr/>
        <w:t xml:space="preserve">6.6.10 Shift Work and Night Work </w:t>
      </w:r>
    </w:p>
    <w:p>
      <w:pPr>
        <w:pStyle w:val="Default"/>
        <w:jc w:val="both"/>
        <w:rPr>
          <w:rFonts w:ascii="Calibri" w:hAnsi="Calibri" w:cs="Tahoma"/>
          <w:sz w:val="23"/>
          <w:szCs w:val="23"/>
        </w:rPr>
      </w:pPr>
      <w:r>
        <w:rPr>
          <w:rFonts w:cs="Tahoma" w:ascii="Calibri" w:hAnsi="Calibri"/>
          <w:sz w:val="23"/>
          <w:szCs w:val="23"/>
        </w:rPr>
        <w:t xml:space="preserve">There are a number of reported adverse effects of resulting from long term shift work, these may include: sleep disturbances; gastrointestinal and cardio-vascular problems; mood swings; chronic fatigue; metabolic, social and family problems; industrial accidents; reduced work capacity; and early ageing. </w:t>
      </w:r>
    </w:p>
    <w:p>
      <w:pPr>
        <w:pStyle w:val="Default"/>
        <w:jc w:val="both"/>
        <w:rPr>
          <w:rFonts w:ascii="Calibri" w:hAnsi="Calibri" w:cs="Tahoma"/>
          <w:sz w:val="23"/>
          <w:szCs w:val="23"/>
        </w:rPr>
      </w:pPr>
      <w:r>
        <w:rPr>
          <w:rFonts w:cs="Tahoma" w:ascii="Calibri" w:hAnsi="Calibri"/>
          <w:sz w:val="23"/>
          <w:szCs w:val="23"/>
        </w:rPr>
      </w:r>
    </w:p>
    <w:p>
      <w:pPr>
        <w:pStyle w:val="Default"/>
        <w:jc w:val="both"/>
        <w:rPr>
          <w:rFonts w:ascii="Calibri" w:hAnsi="Calibri" w:cs="Tahoma"/>
          <w:sz w:val="23"/>
          <w:szCs w:val="23"/>
        </w:rPr>
      </w:pPr>
      <w:r>
        <w:rPr>
          <w:rFonts w:cs="Tahoma" w:ascii="Calibri" w:hAnsi="Calibri"/>
          <w:sz w:val="23"/>
          <w:szCs w:val="23"/>
        </w:rPr>
        <w:t xml:space="preserve">It is important that staff that are involved in shift work have regular health checks; these should increase in frequency, as the staff member gets older. </w:t>
      </w:r>
      <w:r>
        <w:rPr/>
        <w:t xml:space="preserve">Togher Boys’ </w:t>
      </w:r>
      <w:r>
        <w:rPr>
          <w:rFonts w:cs="Tahoma" w:ascii="Calibri" w:hAnsi="Calibri"/>
          <w:sz w:val="23"/>
          <w:szCs w:val="23"/>
        </w:rPr>
        <w:t>NATIONAL SCHOOL will provide all their shift-workers with access to an Occupational Health School who will provide a risk/health assessment to the worker as required by the SHWW (General Application) Regulations 2007. Abnormal working hours should be considered as a hazard, during the risk assessment process</w:t>
      </w:r>
    </w:p>
    <w:p>
      <w:pPr>
        <w:pStyle w:val="Default"/>
        <w:jc w:val="both"/>
        <w:rPr>
          <w:rFonts w:ascii="Calibri" w:hAnsi="Calibri" w:cs="Tahoma"/>
          <w:sz w:val="23"/>
          <w:szCs w:val="23"/>
        </w:rPr>
      </w:pPr>
      <w:r>
        <w:rPr>
          <w:rFonts w:cs="Tahoma" w:ascii="Calibri" w:hAnsi="Calibri"/>
          <w:sz w:val="23"/>
          <w:szCs w:val="23"/>
        </w:rPr>
      </w:r>
    </w:p>
    <w:p>
      <w:pPr>
        <w:pStyle w:val="Default"/>
        <w:jc w:val="both"/>
        <w:rPr>
          <w:rFonts w:ascii="Calibri" w:hAnsi="Calibri" w:cs="Tahoma"/>
          <w:sz w:val="23"/>
          <w:szCs w:val="23"/>
        </w:rPr>
      </w:pPr>
      <w:r>
        <w:rPr>
          <w:rFonts w:cs="Tahoma" w:ascii="Calibri" w:hAnsi="Calibri"/>
          <w:sz w:val="23"/>
          <w:szCs w:val="23"/>
        </w:rPr>
        <w:t>It is important that where elderly and pregnant women work shift/night duties, a risk assessment is carried out.  While working shifts try to take regular exercise and try to eat healthy food, avoid fast food or over consumption of pep drinks like coffee/cola, this may help the body to adjust.</w:t>
      </w:r>
    </w:p>
    <w:p>
      <w:pPr>
        <w:pStyle w:val="Default"/>
        <w:jc w:val="both"/>
        <w:rPr>
          <w:rFonts w:ascii="Calibri" w:hAnsi="Calibri" w:cs="Tahoma"/>
          <w:sz w:val="23"/>
          <w:szCs w:val="23"/>
        </w:rPr>
      </w:pPr>
      <w:r>
        <w:rPr>
          <w:rFonts w:cs="Tahoma" w:ascii="Calibri" w:hAnsi="Calibri"/>
          <w:sz w:val="23"/>
          <w:szCs w:val="23"/>
        </w:rPr>
      </w:r>
    </w:p>
    <w:p>
      <w:pPr>
        <w:pStyle w:val="Heading3"/>
        <w:rPr/>
      </w:pPr>
      <w:r>
        <w:rPr/>
        <w:t>6.6.11 Lone Working</w:t>
      </w:r>
    </w:p>
    <w:p>
      <w:pPr>
        <w:pStyle w:val="Default"/>
        <w:jc w:val="both"/>
        <w:rPr>
          <w:rFonts w:ascii="Calibri" w:hAnsi="Calibri" w:cs="Tahoma"/>
          <w:sz w:val="23"/>
          <w:szCs w:val="23"/>
        </w:rPr>
      </w:pPr>
      <w:r>
        <w:rPr>
          <w:rFonts w:cs="Tahoma" w:ascii="Calibri" w:hAnsi="Calibri"/>
          <w:sz w:val="23"/>
          <w:szCs w:val="23"/>
        </w:rPr>
        <w:t xml:space="preserve">Lone working refers to the situation where a person working in a potentially dangerous environment spends a proportion of their time, in circumstances where there is no close, frequent and regular involvement with other workers and supervision. </w:t>
      </w:r>
      <w:r>
        <w:rPr/>
        <w:t xml:space="preserve">Togher Boys’ </w:t>
      </w:r>
      <w:r>
        <w:rPr>
          <w:rFonts w:cs="Tahoma" w:ascii="Calibri" w:hAnsi="Calibri"/>
          <w:sz w:val="23"/>
          <w:szCs w:val="23"/>
        </w:rPr>
        <w:t>National SchoolService is preparing a policy on Lone Working.</w:t>
      </w:r>
    </w:p>
    <w:p>
      <w:pPr>
        <w:pStyle w:val="Default"/>
        <w:jc w:val="both"/>
        <w:rPr>
          <w:rFonts w:ascii="Calibri" w:hAnsi="Calibri" w:cs="Tahoma"/>
          <w:sz w:val="23"/>
          <w:szCs w:val="23"/>
        </w:rPr>
      </w:pPr>
      <w:r>
        <w:rPr>
          <w:rFonts w:cs="Tahoma" w:ascii="Calibri" w:hAnsi="Calibri"/>
          <w:sz w:val="23"/>
          <w:szCs w:val="23"/>
        </w:rPr>
      </w:r>
    </w:p>
    <w:p>
      <w:pPr>
        <w:pStyle w:val="Normal"/>
        <w:spacing w:lineRule="auto" w:line="240"/>
        <w:jc w:val="both"/>
        <w:rPr>
          <w:rFonts w:cs="Tahoma"/>
          <w:i/>
          <w:i/>
        </w:rPr>
      </w:pPr>
      <w:r>
        <w:rPr>
          <w:rFonts w:cs="Tahoma"/>
          <w:i/>
        </w:rPr>
        <w:t xml:space="preserve">(For review subject to impending policy) </w:t>
      </w:r>
    </w:p>
    <w:p>
      <w:pPr>
        <w:pStyle w:val="Default"/>
        <w:jc w:val="both"/>
        <w:rPr>
          <w:rFonts w:ascii="Calibri" w:hAnsi="Calibri" w:cs="Tahoma"/>
          <w:sz w:val="23"/>
          <w:szCs w:val="23"/>
        </w:rPr>
      </w:pPr>
      <w:r>
        <w:rPr>
          <w:rFonts w:cs="Tahoma" w:ascii="Calibri" w:hAnsi="Calibri"/>
          <w:sz w:val="23"/>
          <w:szCs w:val="23"/>
        </w:rPr>
      </w:r>
    </w:p>
    <w:p>
      <w:pPr>
        <w:pStyle w:val="Heading3"/>
        <w:shd w:val="clear" w:color="auto" w:fill="FFFFFF"/>
        <w:rPr>
          <w:szCs w:val="23"/>
        </w:rPr>
      </w:pPr>
      <w:r>
        <w:rPr/>
        <w:t xml:space="preserve">6.6.12 Stress </w:t>
      </w:r>
    </w:p>
    <w:p>
      <w:pPr>
        <w:pStyle w:val="Default"/>
        <w:shd w:val="clear" w:color="auto" w:fill="FFFFFF"/>
        <w:jc w:val="both"/>
        <w:rPr>
          <w:rFonts w:ascii="Calibri" w:hAnsi="Calibri" w:cs="Tahoma"/>
          <w:color w:val="00000A"/>
          <w:sz w:val="23"/>
          <w:szCs w:val="23"/>
        </w:rPr>
      </w:pPr>
      <w:r>
        <w:rPr>
          <w:rFonts w:cs="Tahoma" w:ascii="Calibri" w:hAnsi="Calibri"/>
          <w:color w:val="00000A"/>
          <w:sz w:val="23"/>
          <w:szCs w:val="23"/>
        </w:rPr>
      </w:r>
    </w:p>
    <w:p>
      <w:pPr>
        <w:pStyle w:val="Default"/>
        <w:shd w:val="clear" w:color="auto" w:fill="FFFFFF"/>
        <w:jc w:val="both"/>
        <w:rPr>
          <w:rFonts w:ascii="Calibri" w:hAnsi="Calibri" w:cs="Tahoma"/>
          <w:color w:val="00000A"/>
          <w:sz w:val="23"/>
          <w:szCs w:val="23"/>
        </w:rPr>
      </w:pPr>
      <w:r>
        <w:rPr>
          <w:rFonts w:cs="Tahoma" w:ascii="Calibri" w:hAnsi="Calibri"/>
          <w:color w:val="00000A"/>
          <w:sz w:val="23"/>
          <w:szCs w:val="23"/>
        </w:rPr>
        <w:t>Stress can be broadly defined as the negative reactions people have to aspects of their environment. Stress occurs when an individual perceives an imbalance between the demands placed on them on the one hand and their ability to cope on the other. Pressure only becomes stress when an individual feels unable to cope. Work related stress results from an interaction of the individual and the working environment, as a result what may be stressful for one employee, may not be stressful for another. The effects of stress differ from individual to individual. If you have any workplace stress related issues please raise them with your Head of Department or Line Manager or contact the Occupational Health Department who can refer you to the Employee Assistance Programme (EAP)</w:t>
      </w:r>
    </w:p>
    <w:p>
      <w:pPr>
        <w:pStyle w:val="Default"/>
        <w:jc w:val="both"/>
        <w:rPr>
          <w:rFonts w:ascii="Calibri" w:hAnsi="Calibri" w:cs="Tahoma"/>
          <w:sz w:val="23"/>
          <w:szCs w:val="23"/>
        </w:rPr>
      </w:pPr>
      <w:r>
        <w:rPr>
          <w:rFonts w:cs="Tahoma" w:ascii="Calibri" w:hAnsi="Calibri"/>
          <w:sz w:val="23"/>
          <w:szCs w:val="23"/>
        </w:rPr>
      </w:r>
    </w:p>
    <w:p>
      <w:pPr>
        <w:pStyle w:val="Heading2"/>
        <w:spacing w:lineRule="auto" w:line="240"/>
        <w:rPr>
          <w:rFonts w:ascii="Calibri" w:hAnsi="Calibri"/>
        </w:rPr>
      </w:pPr>
      <w:bookmarkStart w:id="20" w:name="_Toc244923564"/>
      <w:bookmarkEnd w:id="20"/>
      <w:r>
        <w:rPr>
          <w:rFonts w:ascii="Calibri" w:hAnsi="Calibri"/>
        </w:rPr>
        <w:t>6.7 Biological Hazards</w:t>
      </w:r>
    </w:p>
    <w:p>
      <w:pPr>
        <w:pStyle w:val="Normal"/>
        <w:spacing w:lineRule="auto" w:line="240"/>
        <w:rPr>
          <w:rFonts w:cs="Tahoma"/>
        </w:rPr>
      </w:pPr>
      <w:r>
        <w:rPr>
          <w:rFonts w:cs="Tahoma"/>
        </w:rPr>
        <w:t xml:space="preserve"> </w:t>
      </w:r>
      <w:r>
        <w:rPr>
          <w:rFonts w:cs="Tahoma"/>
        </w:rPr>
        <w:t>Biological agents refer to micro-organisms mainly bacteria and viruses, which are able to provoke an infection, allergy or toxicity.</w:t>
      </w:r>
    </w:p>
    <w:p>
      <w:pPr>
        <w:pStyle w:val="Heading3"/>
        <w:rPr/>
      </w:pPr>
      <w:r>
        <w:rPr/>
        <w:t>6.7.1 Routes of Infection</w:t>
      </w:r>
    </w:p>
    <w:p>
      <w:pPr>
        <w:pStyle w:val="Normal"/>
        <w:spacing w:lineRule="auto" w:line="240"/>
        <w:jc w:val="both"/>
        <w:rPr>
          <w:rFonts w:cs="Tahoma"/>
        </w:rPr>
      </w:pPr>
      <w:r>
        <w:rPr>
          <w:rFonts w:cs="Tahoma"/>
        </w:rPr>
        <w:t>Employees may become infected through ingestion, inhalation, absorption and injection. Well known blood borne pathogens includes Hepatitis B, Hepatitis C and Human Immunodeficiency Virus (HIV).</w:t>
      </w:r>
    </w:p>
    <w:p>
      <w:pPr>
        <w:pStyle w:val="Normal"/>
        <w:spacing w:lineRule="auto" w:line="240" w:before="0" w:after="0"/>
        <w:jc w:val="both"/>
        <w:rPr>
          <w:rFonts w:cs="Tahoma"/>
        </w:rPr>
      </w:pPr>
      <w:r>
        <w:rPr>
          <w:rFonts w:cs="Tahoma"/>
        </w:rPr>
        <w:t>No immunisation is available for Hepatitis C and HIV, as a result strict adherence to standard operating policies/procedures and precautions must be adhered too. Employees are responsible for becoming familiar with the guidelines for the management of accidental blood and body fluid exposure. These guidelines are located within all departments. All incidents must be reported to the Head of Department and the person involved in the incident must attend Out Patients users in their local hospital</w:t>
      </w:r>
    </w:p>
    <w:p>
      <w:pPr>
        <w:pStyle w:val="Normal"/>
        <w:spacing w:lineRule="auto" w:line="240" w:before="0" w:after="0"/>
        <w:jc w:val="both"/>
        <w:rPr>
          <w:rFonts w:cs="Tahoma"/>
        </w:rPr>
      </w:pPr>
      <w:r>
        <w:rPr>
          <w:rFonts w:cs="Tahoma"/>
        </w:rPr>
      </w:r>
    </w:p>
    <w:p>
      <w:pPr>
        <w:pStyle w:val="Normal"/>
        <w:spacing w:lineRule="auto" w:line="240"/>
        <w:jc w:val="both"/>
        <w:rPr>
          <w:rFonts w:cs="Tahoma"/>
          <w:b/>
          <w:b/>
        </w:rPr>
      </w:pPr>
      <w:r>
        <w:rPr>
          <w:rFonts w:cs="Tahoma"/>
          <w:b/>
        </w:rPr>
        <w:t>Hepatitis B Vaccination</w:t>
      </w:r>
    </w:p>
    <w:p>
      <w:pPr>
        <w:pStyle w:val="Normal"/>
        <w:spacing w:lineRule="auto" w:line="240"/>
        <w:jc w:val="both"/>
        <w:rPr>
          <w:rFonts w:cs="Tahoma"/>
        </w:rPr>
      </w:pPr>
      <w:r>
        <w:rPr>
          <w:rFonts w:cs="Tahoma"/>
        </w:rPr>
        <w:t xml:space="preserve">The Hepatitis B Vaccination Programme is co-ordinated by Occupational Health School.  All employees are recommended to obtain this immunisation especially where there is the risk of contact with blood or body fluids.  </w:t>
      </w:r>
    </w:p>
    <w:p>
      <w:pPr>
        <w:pStyle w:val="Heading3"/>
        <w:rPr/>
      </w:pPr>
      <w:r>
        <w:rPr/>
        <w:t>6.7.2 Prevention of Exposure to Biological Agents</w:t>
      </w:r>
    </w:p>
    <w:p>
      <w:pPr>
        <w:pStyle w:val="Normal"/>
        <w:spacing w:before="0" w:after="0"/>
        <w:rPr/>
      </w:pPr>
      <w:r>
        <w:rPr/>
      </w:r>
    </w:p>
    <w:p>
      <w:pPr>
        <w:pStyle w:val="Normal"/>
        <w:numPr>
          <w:ilvl w:val="1"/>
          <w:numId w:val="25"/>
        </w:numPr>
        <w:spacing w:lineRule="auto" w:line="240" w:before="0" w:after="0"/>
        <w:ind w:left="284" w:hanging="284"/>
        <w:jc w:val="both"/>
        <w:rPr>
          <w:rFonts w:cs="Tahoma"/>
        </w:rPr>
      </w:pPr>
      <w:r>
        <w:rPr>
          <w:rFonts w:cs="Tahoma"/>
        </w:rPr>
        <w:t>All blood and body fluids should be regarded as potentially infectious;</w:t>
      </w:r>
    </w:p>
    <w:p>
      <w:pPr>
        <w:pStyle w:val="Normal"/>
        <w:numPr>
          <w:ilvl w:val="1"/>
          <w:numId w:val="25"/>
        </w:numPr>
        <w:spacing w:lineRule="auto" w:line="240" w:before="0" w:after="0"/>
        <w:ind w:left="284" w:hanging="284"/>
        <w:jc w:val="both"/>
        <w:rPr>
          <w:rFonts w:cs="Tahoma"/>
        </w:rPr>
      </w:pPr>
      <w:r>
        <w:rPr>
          <w:rFonts w:cs="Tahoma"/>
        </w:rPr>
        <w:t>Pay strict attention to hand washing;</w:t>
      </w:r>
    </w:p>
    <w:p>
      <w:pPr>
        <w:pStyle w:val="Normal"/>
        <w:numPr>
          <w:ilvl w:val="1"/>
          <w:numId w:val="25"/>
        </w:numPr>
        <w:spacing w:lineRule="auto" w:line="240" w:before="0" w:after="0"/>
        <w:ind w:left="284" w:hanging="284"/>
        <w:jc w:val="both"/>
        <w:rPr>
          <w:rFonts w:cs="Tahoma"/>
        </w:rPr>
      </w:pPr>
      <w:r>
        <w:rPr>
          <w:rFonts w:cs="Tahoma"/>
        </w:rPr>
        <w:t>Wear gloves when dealing with all blood/body fluids;</w:t>
      </w:r>
    </w:p>
    <w:p>
      <w:pPr>
        <w:pStyle w:val="Normal"/>
        <w:numPr>
          <w:ilvl w:val="1"/>
          <w:numId w:val="25"/>
        </w:numPr>
        <w:spacing w:lineRule="auto" w:line="240" w:before="0" w:after="0"/>
        <w:ind w:left="284" w:hanging="284"/>
        <w:jc w:val="both"/>
        <w:rPr>
          <w:rFonts w:cs="Tahoma"/>
        </w:rPr>
      </w:pPr>
      <w:r>
        <w:rPr>
          <w:rFonts w:cs="Tahoma"/>
        </w:rPr>
        <w:t>Cover cuts and any skin lesion with a waterproof dressing;</w:t>
      </w:r>
    </w:p>
    <w:p>
      <w:pPr>
        <w:pStyle w:val="Normal"/>
        <w:numPr>
          <w:ilvl w:val="1"/>
          <w:numId w:val="25"/>
        </w:numPr>
        <w:spacing w:lineRule="auto" w:line="240" w:before="0" w:after="0"/>
        <w:ind w:left="284" w:hanging="284"/>
        <w:jc w:val="both"/>
        <w:rPr>
          <w:rFonts w:cs="Tahoma"/>
        </w:rPr>
      </w:pPr>
      <w:r>
        <w:rPr>
          <w:rFonts w:cs="Tahoma"/>
        </w:rPr>
        <w:t>Handle all needles and sharps with care;</w:t>
      </w:r>
    </w:p>
    <w:p>
      <w:pPr>
        <w:pStyle w:val="Normal"/>
        <w:numPr>
          <w:ilvl w:val="1"/>
          <w:numId w:val="25"/>
        </w:numPr>
        <w:spacing w:lineRule="auto" w:line="240" w:before="0" w:after="0"/>
        <w:ind w:left="284" w:hanging="284"/>
        <w:jc w:val="both"/>
        <w:rPr>
          <w:rFonts w:cs="Tahoma"/>
        </w:rPr>
      </w:pPr>
      <w:r>
        <w:rPr>
          <w:rFonts w:cs="Tahoma"/>
        </w:rPr>
        <w:t>Take precautions to prevent injuries by sharp instruments;</w:t>
      </w:r>
    </w:p>
    <w:p>
      <w:pPr>
        <w:pStyle w:val="Normal"/>
        <w:numPr>
          <w:ilvl w:val="1"/>
          <w:numId w:val="25"/>
        </w:numPr>
        <w:spacing w:lineRule="auto" w:line="240" w:before="0" w:after="0"/>
        <w:ind w:left="284" w:hanging="284"/>
        <w:jc w:val="both"/>
        <w:rPr>
          <w:rFonts w:cs="Tahoma"/>
        </w:rPr>
      </w:pPr>
      <w:r>
        <w:rPr>
          <w:rFonts w:cs="Tahoma"/>
        </w:rPr>
        <w:t>Use injection trays to carry syringes/needles;</w:t>
      </w:r>
    </w:p>
    <w:p>
      <w:pPr>
        <w:pStyle w:val="Normal"/>
        <w:numPr>
          <w:ilvl w:val="1"/>
          <w:numId w:val="25"/>
        </w:numPr>
        <w:spacing w:lineRule="auto" w:line="240" w:before="0" w:after="0"/>
        <w:ind w:left="284" w:hanging="284"/>
        <w:jc w:val="both"/>
        <w:rPr>
          <w:rFonts w:cs="Tahoma"/>
        </w:rPr>
      </w:pPr>
      <w:r>
        <w:rPr>
          <w:rFonts w:cs="Tahoma"/>
        </w:rPr>
        <w:t>Do NOT re-sheath a needle before discarding;</w:t>
      </w:r>
    </w:p>
    <w:p>
      <w:pPr>
        <w:pStyle w:val="Normal"/>
        <w:numPr>
          <w:ilvl w:val="1"/>
          <w:numId w:val="25"/>
        </w:numPr>
        <w:spacing w:lineRule="auto" w:line="240" w:before="0" w:after="0"/>
        <w:ind w:left="284" w:hanging="284"/>
        <w:jc w:val="both"/>
        <w:rPr>
          <w:rFonts w:cs="Tahoma"/>
        </w:rPr>
      </w:pPr>
      <w:r>
        <w:rPr>
          <w:rFonts w:cs="Tahoma"/>
        </w:rPr>
        <w:t>It is the responsibility of the person using the sharp to dispose of it properly;</w:t>
      </w:r>
    </w:p>
    <w:p>
      <w:pPr>
        <w:pStyle w:val="Normal"/>
        <w:numPr>
          <w:ilvl w:val="1"/>
          <w:numId w:val="25"/>
        </w:numPr>
        <w:spacing w:lineRule="auto" w:line="240" w:before="0" w:after="0"/>
        <w:ind w:left="284" w:hanging="284"/>
        <w:jc w:val="both"/>
        <w:rPr>
          <w:rFonts w:cs="Tahoma"/>
        </w:rPr>
      </w:pPr>
      <w:r>
        <w:rPr>
          <w:rFonts w:cs="Tahoma"/>
        </w:rPr>
        <w:t>Never leave sharps lying around;</w:t>
      </w:r>
    </w:p>
    <w:p>
      <w:pPr>
        <w:pStyle w:val="Normal"/>
        <w:numPr>
          <w:ilvl w:val="1"/>
          <w:numId w:val="25"/>
        </w:numPr>
        <w:spacing w:lineRule="auto" w:line="240" w:before="0" w:after="0"/>
        <w:ind w:left="284" w:hanging="284"/>
        <w:jc w:val="both"/>
        <w:rPr>
          <w:rFonts w:cs="Tahoma"/>
        </w:rPr>
      </w:pPr>
      <w:r>
        <w:rPr>
          <w:rFonts w:cs="Tahoma"/>
        </w:rPr>
        <w:t>Do not overfill sharp container;</w:t>
      </w:r>
    </w:p>
    <w:p>
      <w:pPr>
        <w:pStyle w:val="Normal"/>
        <w:numPr>
          <w:ilvl w:val="1"/>
          <w:numId w:val="25"/>
        </w:numPr>
        <w:tabs>
          <w:tab w:val="left" w:pos="284" w:leader="none"/>
        </w:tabs>
        <w:spacing w:lineRule="auto" w:line="240" w:before="0" w:after="0"/>
        <w:ind w:left="284" w:hanging="284"/>
        <w:jc w:val="both"/>
        <w:rPr>
          <w:rFonts w:cs="Tahoma"/>
        </w:rPr>
      </w:pPr>
      <w:r>
        <w:rPr>
          <w:rFonts w:cs="Tahoma"/>
        </w:rPr>
        <w:t>Discard all sharps into a clearly identifiable, specifically designed, puncture resistant, leak proof container i.e. the sharps container.</w:t>
      </w:r>
    </w:p>
    <w:p>
      <w:pPr>
        <w:pStyle w:val="Normal"/>
        <w:spacing w:lineRule="auto" w:line="240" w:before="0" w:after="0"/>
        <w:jc w:val="both"/>
        <w:rPr>
          <w:rFonts w:cs="Tahoma"/>
        </w:rPr>
      </w:pPr>
      <w:r>
        <w:rPr>
          <w:rFonts w:cs="Tahoma"/>
        </w:rPr>
      </w:r>
    </w:p>
    <w:p>
      <w:pPr>
        <w:pStyle w:val="Heading2"/>
        <w:spacing w:lineRule="auto" w:line="240"/>
        <w:rPr>
          <w:rFonts w:ascii="Calibri" w:hAnsi="Calibri"/>
        </w:rPr>
      </w:pPr>
      <w:bookmarkStart w:id="21" w:name="_Toc244923565"/>
      <w:bookmarkEnd w:id="21"/>
      <w:r>
        <w:rPr>
          <w:rFonts w:ascii="Calibri" w:hAnsi="Calibri"/>
        </w:rPr>
        <w:t>6.8 Carcinogens</w:t>
      </w:r>
    </w:p>
    <w:p>
      <w:pPr>
        <w:pStyle w:val="Normal"/>
        <w:spacing w:lineRule="auto" w:line="240"/>
        <w:jc w:val="both"/>
        <w:rPr>
          <w:rFonts w:cs="Tahoma"/>
        </w:rPr>
      </w:pPr>
      <w:r>
        <w:rPr>
          <w:rFonts w:cs="Tahoma"/>
        </w:rPr>
        <w:t>[Safety, Health and Welfare at Work (Carcinogens) Regulations, 2001]</w:t>
      </w:r>
    </w:p>
    <w:p>
      <w:pPr>
        <w:pStyle w:val="Normal"/>
        <w:spacing w:lineRule="auto" w:line="240"/>
        <w:jc w:val="both"/>
        <w:rPr>
          <w:rFonts w:cs="Tahoma"/>
        </w:rPr>
      </w:pPr>
      <w:r>
        <w:rPr>
          <w:rFonts w:cs="Tahoma"/>
        </w:rPr>
        <w:t>The carcinogens regulations specify certain measures necessary to protect workers from the risks resulting from exposure to carcinogens including:</w:t>
      </w:r>
    </w:p>
    <w:p>
      <w:pPr>
        <w:pStyle w:val="Normal"/>
        <w:numPr>
          <w:ilvl w:val="1"/>
          <w:numId w:val="26"/>
        </w:numPr>
        <w:spacing w:lineRule="auto" w:line="240" w:before="0" w:after="0"/>
        <w:ind w:left="284" w:hanging="284"/>
        <w:jc w:val="both"/>
        <w:rPr>
          <w:rFonts w:cs="Tahoma"/>
        </w:rPr>
      </w:pPr>
      <w:r>
        <w:rPr>
          <w:rFonts w:cs="Tahoma"/>
        </w:rPr>
        <w:t>Risk assessment of carcinogen use in the workplace.</w:t>
      </w:r>
    </w:p>
    <w:p>
      <w:pPr>
        <w:pStyle w:val="Normal"/>
        <w:numPr>
          <w:ilvl w:val="1"/>
          <w:numId w:val="26"/>
        </w:numPr>
        <w:spacing w:lineRule="auto" w:line="240" w:before="0" w:after="0"/>
        <w:ind w:left="284" w:hanging="284"/>
        <w:jc w:val="both"/>
        <w:rPr>
          <w:rFonts w:cs="Tahoma"/>
        </w:rPr>
      </w:pPr>
      <w:r>
        <w:rPr>
          <w:rFonts w:cs="Tahoma"/>
        </w:rPr>
        <w:t>Implementation of appropriate steps to eliminate or minimise exposure.</w:t>
      </w:r>
    </w:p>
    <w:p>
      <w:pPr>
        <w:pStyle w:val="Normal"/>
        <w:numPr>
          <w:ilvl w:val="1"/>
          <w:numId w:val="26"/>
        </w:numPr>
        <w:spacing w:lineRule="auto" w:line="240" w:before="0" w:after="0"/>
        <w:ind w:left="284" w:hanging="284"/>
        <w:jc w:val="both"/>
        <w:rPr>
          <w:rFonts w:cs="Tahoma"/>
        </w:rPr>
      </w:pPr>
      <w:r>
        <w:rPr>
          <w:rFonts w:cs="Tahoma"/>
        </w:rPr>
        <w:t>An up to date list of employees at risk of exposure to carcinogens must be maintained. This list will be complied based on information obtained from the Heads of Departments where carcinogens are in use. Employees exposed to carcinogens in the course of their work are to be consulted and provided with information and training on the hazards and risks of carcinogen use, including appropriate medical surveillance and the measures to deal with unforeseen risks.</w:t>
      </w:r>
    </w:p>
    <w:p>
      <w:pPr>
        <w:pStyle w:val="Normal"/>
        <w:numPr>
          <w:ilvl w:val="1"/>
          <w:numId w:val="26"/>
        </w:numPr>
        <w:spacing w:lineRule="auto" w:line="240" w:before="0" w:after="0"/>
        <w:ind w:left="284" w:hanging="284"/>
        <w:jc w:val="both"/>
        <w:rPr>
          <w:rFonts w:cs="Tahoma"/>
        </w:rPr>
      </w:pPr>
      <w:r>
        <w:rPr>
          <w:rFonts w:cs="Tahoma"/>
        </w:rPr>
        <w:t>Appropriate records of assessments, exposure and medical surveillance will be maintained by the School and will be made available to the HSA.</w:t>
      </w:r>
    </w:p>
    <w:p>
      <w:pPr>
        <w:pStyle w:val="Normal"/>
        <w:spacing w:lineRule="auto" w:line="240" w:before="0" w:after="0"/>
        <w:ind w:left="709" w:hanging="0"/>
        <w:jc w:val="both"/>
        <w:rPr>
          <w:rFonts w:cs="Tahoma"/>
        </w:rPr>
      </w:pPr>
      <w:r>
        <w:rPr>
          <w:rFonts w:cs="Tahoma"/>
        </w:rPr>
      </w:r>
    </w:p>
    <w:p>
      <w:pPr>
        <w:pStyle w:val="Heading2"/>
        <w:spacing w:lineRule="auto" w:line="240"/>
        <w:rPr>
          <w:rFonts w:ascii="Calibri" w:hAnsi="Calibri"/>
        </w:rPr>
      </w:pPr>
      <w:bookmarkStart w:id="22" w:name="_Toc244923566"/>
      <w:bookmarkEnd w:id="22"/>
      <w:r>
        <w:rPr>
          <w:rFonts w:ascii="Calibri" w:hAnsi="Calibri"/>
        </w:rPr>
        <w:t>6.9 Pregnant Employees</w:t>
      </w:r>
    </w:p>
    <w:p>
      <w:pPr>
        <w:pStyle w:val="Normal"/>
        <w:spacing w:lineRule="auto" w:line="240"/>
        <w:jc w:val="both"/>
        <w:rPr>
          <w:rFonts w:cs="Tahoma"/>
        </w:rPr>
      </w:pPr>
      <w:r>
        <w:rPr>
          <w:rFonts w:cs="Tahoma"/>
        </w:rPr>
        <w:t>(</w:t>
      </w:r>
      <w:r>
        <w:rPr>
          <w:rFonts w:cs="Tahoma"/>
          <w:i/>
        </w:rPr>
        <w:t>Refer to Human Resources &amp; Occupational Health</w:t>
      </w:r>
      <w:r>
        <w:rPr>
          <w:rFonts w:cs="Tahoma"/>
        </w:rPr>
        <w:t>)</w:t>
      </w:r>
    </w:p>
    <w:p>
      <w:pPr>
        <w:pStyle w:val="Normal"/>
        <w:spacing w:lineRule="auto" w:line="240"/>
        <w:jc w:val="both"/>
        <w:rPr>
          <w:rFonts w:cs="Tahoma"/>
        </w:rPr>
      </w:pPr>
      <w:r>
        <w:rPr>
          <w:rFonts w:cs="Tahoma"/>
        </w:rPr>
        <w:t xml:space="preserve">It will be the policy of </w:t>
      </w:r>
      <w:r>
        <w:rPr>
          <w:color w:val="000000"/>
          <w:sz w:val="24"/>
          <w:szCs w:val="24"/>
        </w:rPr>
        <w:t xml:space="preserve">Togher Boys’ </w:t>
      </w:r>
      <w:r>
        <w:rPr>
          <w:rFonts w:cs="Tahoma"/>
        </w:rPr>
        <w:t xml:space="preserve">NATIONAL SCHOOL to assess any risk to the safety and health of employees, and any possible effect on the pregnancy of, or breastfeeding by employees resulting from any activity at work likely to involve risk of exposure to any agent, process or working condition and for that purpose to determine the nature, degree and duration of any employees exposure to any agent, process or working condition and to take the preventative and protective measures necessary to ensure the safety and health of such employees and to avoid any possible effect on such pregnancy. </w:t>
      </w:r>
      <w:r>
        <w:rPr>
          <w:rFonts w:cs="Tahoma"/>
          <w:i/>
        </w:rPr>
        <w:t>Please refer to the Safety, Health and Welfare at Work (General Applications) Regulations 2007, for more information.</w:t>
      </w:r>
    </w:p>
    <w:p>
      <w:pPr>
        <w:pStyle w:val="Normal"/>
        <w:spacing w:lineRule="auto" w:line="240"/>
        <w:jc w:val="both"/>
        <w:rPr>
          <w:rFonts w:cs="Tahoma"/>
        </w:rPr>
      </w:pPr>
      <w:r>
        <w:rPr>
          <w:rFonts w:cs="Tahoma"/>
        </w:rPr>
        <w:t>All pregnant or breastfeeding employees are responsible to notify their manager and contact Occupational Health for advice where they will be asked to sign and complete a Pregnant and Breastfeeding Employees Risk Assessment form, available from Occupational Health. The activities/duties assigned to the staff member will be assessed to ensure the continued health and safety of the employee and their unborn baby or child during this period.</w:t>
      </w:r>
    </w:p>
    <w:p>
      <w:pPr>
        <w:pStyle w:val="Heading1"/>
        <w:spacing w:lineRule="auto" w:line="240"/>
        <w:rPr>
          <w:rFonts w:ascii="Calibri" w:hAnsi="Calibri"/>
        </w:rPr>
      </w:pPr>
      <w:bookmarkStart w:id="23" w:name="_Toc244923567"/>
      <w:bookmarkEnd w:id="23"/>
      <w:r>
        <w:rPr>
          <w:rFonts w:ascii="Calibri" w:hAnsi="Calibri"/>
        </w:rPr>
        <w:t>7. Personal Protective Equipment (PPE)</w:t>
      </w:r>
    </w:p>
    <w:p>
      <w:pPr>
        <w:pStyle w:val="Normal"/>
        <w:spacing w:lineRule="auto" w:line="240"/>
        <w:jc w:val="both"/>
        <w:rPr>
          <w:rFonts w:cs="Tahoma"/>
        </w:rPr>
      </w:pPr>
      <w:r>
        <w:rPr>
          <w:rFonts w:cs="Tahoma"/>
        </w:rPr>
        <w:t>The specific legislation covering Personal Protective Equipment (PPE) includes part 2 Chapter 3 of the General Application Regulations 2007 and the European Communities Personal Protective Equipment Regulations.</w:t>
      </w:r>
    </w:p>
    <w:p>
      <w:pPr>
        <w:pStyle w:val="Normal"/>
        <w:numPr>
          <w:ilvl w:val="0"/>
          <w:numId w:val="27"/>
        </w:numPr>
        <w:spacing w:lineRule="auto" w:line="240" w:before="0" w:after="0"/>
        <w:ind w:left="284" w:hanging="284"/>
        <w:jc w:val="both"/>
        <w:rPr>
          <w:rFonts w:cs="Tahoma"/>
        </w:rPr>
      </w:pPr>
      <w:r>
        <w:rPr>
          <w:rFonts w:cs="Tahoma"/>
        </w:rPr>
        <w:t xml:space="preserve">PPE where provided and must be worn at all times on duty within </w:t>
      </w:r>
      <w:r>
        <w:rPr>
          <w:color w:val="000000"/>
          <w:sz w:val="24"/>
          <w:szCs w:val="24"/>
        </w:rPr>
        <w:t xml:space="preserve">Togher Boys’ </w:t>
      </w:r>
      <w:r>
        <w:rPr>
          <w:rFonts w:cs="Tahoma"/>
        </w:rPr>
        <w:t>NATIONAL SCHOOL.</w:t>
      </w:r>
    </w:p>
    <w:p>
      <w:pPr>
        <w:pStyle w:val="Normal"/>
        <w:numPr>
          <w:ilvl w:val="0"/>
          <w:numId w:val="27"/>
        </w:numPr>
        <w:spacing w:lineRule="auto" w:line="240" w:before="0" w:after="0"/>
        <w:ind w:left="284" w:hanging="284"/>
        <w:jc w:val="both"/>
        <w:rPr>
          <w:rFonts w:cs="Tahoma"/>
        </w:rPr>
      </w:pPr>
      <w:r>
        <w:rPr>
          <w:rFonts w:cs="Tahoma"/>
        </w:rPr>
        <w:t>The PPE issued will comply with the appropriate EC standards.</w:t>
      </w:r>
    </w:p>
    <w:p>
      <w:pPr>
        <w:pStyle w:val="Normal"/>
        <w:numPr>
          <w:ilvl w:val="0"/>
          <w:numId w:val="27"/>
        </w:numPr>
        <w:spacing w:lineRule="auto" w:line="240" w:before="0" w:after="0"/>
        <w:ind w:left="284" w:hanging="284"/>
        <w:jc w:val="both"/>
        <w:rPr>
          <w:rFonts w:cs="Tahoma"/>
        </w:rPr>
      </w:pPr>
      <w:r>
        <w:rPr>
          <w:rFonts w:cs="Tahoma"/>
        </w:rPr>
        <w:t>PPE must be properly maintained and stored.</w:t>
      </w:r>
    </w:p>
    <w:p>
      <w:pPr>
        <w:pStyle w:val="Normal"/>
        <w:numPr>
          <w:ilvl w:val="0"/>
          <w:numId w:val="27"/>
        </w:numPr>
        <w:spacing w:lineRule="auto" w:line="240" w:before="0" w:after="0"/>
        <w:ind w:left="284" w:hanging="284"/>
        <w:jc w:val="both"/>
        <w:rPr>
          <w:rFonts w:cs="Tahoma"/>
        </w:rPr>
      </w:pPr>
      <w:r>
        <w:rPr>
          <w:rFonts w:cs="Tahoma"/>
        </w:rPr>
        <w:t>Employees will be informed of the risks for which the PPE is provided.</w:t>
      </w:r>
    </w:p>
    <w:p>
      <w:pPr>
        <w:pStyle w:val="Normal"/>
        <w:numPr>
          <w:ilvl w:val="0"/>
          <w:numId w:val="27"/>
        </w:numPr>
        <w:spacing w:lineRule="auto" w:line="240" w:before="0" w:after="0"/>
        <w:ind w:left="284" w:hanging="284"/>
        <w:jc w:val="both"/>
        <w:rPr>
          <w:rFonts w:cs="Tahoma"/>
        </w:rPr>
      </w:pPr>
      <w:r>
        <w:rPr>
          <w:rFonts w:cs="Tahoma"/>
        </w:rPr>
        <w:t>Employees will be properly instructed and trained in its use.</w:t>
      </w:r>
    </w:p>
    <w:p>
      <w:pPr>
        <w:pStyle w:val="Normal"/>
        <w:numPr>
          <w:ilvl w:val="0"/>
          <w:numId w:val="27"/>
        </w:numPr>
        <w:spacing w:lineRule="auto" w:line="240" w:before="0" w:after="0"/>
        <w:ind w:left="284" w:hanging="284"/>
        <w:jc w:val="both"/>
        <w:rPr>
          <w:rFonts w:cs="Tahoma"/>
        </w:rPr>
      </w:pPr>
      <w:r>
        <w:rPr>
          <w:rFonts w:cs="Tahoma"/>
        </w:rPr>
        <w:t>Specific PPE must be worn where the occasion warrants it.</w:t>
      </w:r>
    </w:p>
    <w:p>
      <w:pPr>
        <w:pStyle w:val="Normal"/>
        <w:numPr>
          <w:ilvl w:val="0"/>
          <w:numId w:val="27"/>
        </w:numPr>
        <w:spacing w:lineRule="auto" w:line="240" w:before="0" w:after="0"/>
        <w:ind w:left="284" w:hanging="284"/>
        <w:jc w:val="both"/>
        <w:rPr>
          <w:rFonts w:cs="Tahoma"/>
        </w:rPr>
      </w:pPr>
      <w:r>
        <w:rPr>
          <w:rFonts w:cs="Tahoma"/>
        </w:rPr>
        <w:t>Information, training and consultation on safety and health will take the above requirements into account.</w:t>
      </w:r>
    </w:p>
    <w:p>
      <w:pPr>
        <w:pStyle w:val="Normal"/>
        <w:numPr>
          <w:ilvl w:val="0"/>
          <w:numId w:val="27"/>
        </w:numPr>
        <w:spacing w:lineRule="auto" w:line="240" w:before="0" w:after="0"/>
        <w:ind w:left="284" w:hanging="284"/>
        <w:jc w:val="both"/>
        <w:rPr>
          <w:rFonts w:cs="Tahoma"/>
        </w:rPr>
      </w:pPr>
      <w:r>
        <w:rPr>
          <w:rFonts w:cs="Tahoma"/>
        </w:rPr>
        <w:t>The Head of Department is responsible for supplying the necessary PPE.</w:t>
      </w:r>
    </w:p>
    <w:p>
      <w:pPr>
        <w:pStyle w:val="Normal"/>
        <w:numPr>
          <w:ilvl w:val="0"/>
          <w:numId w:val="27"/>
        </w:numPr>
        <w:spacing w:lineRule="auto" w:line="240" w:before="0" w:after="0"/>
        <w:ind w:left="284" w:hanging="284"/>
        <w:jc w:val="both"/>
        <w:rPr>
          <w:rFonts w:cs="Tahoma"/>
        </w:rPr>
      </w:pPr>
      <w:r>
        <w:rPr>
          <w:rFonts w:cs="Tahoma"/>
        </w:rPr>
        <w:t>It is the individual’s responsibility to maintain the personal protective equipment in good condition and to wear it when it is required.</w:t>
      </w:r>
    </w:p>
    <w:p>
      <w:pPr>
        <w:pStyle w:val="Normal"/>
        <w:numPr>
          <w:ilvl w:val="0"/>
          <w:numId w:val="27"/>
        </w:numPr>
        <w:spacing w:lineRule="auto" w:line="240" w:before="0" w:after="0"/>
        <w:ind w:left="284" w:hanging="284"/>
        <w:jc w:val="both"/>
        <w:rPr>
          <w:rFonts w:cs="Tahoma"/>
        </w:rPr>
      </w:pPr>
      <w:r>
        <w:rPr>
          <w:rFonts w:cs="Tahoma"/>
        </w:rPr>
        <w:t>Breach of rules regarding the wearing of personal protective equipment will lead to disciplinary action being taken.</w:t>
      </w:r>
    </w:p>
    <w:p>
      <w:pPr>
        <w:pStyle w:val="Heading2"/>
        <w:spacing w:lineRule="auto" w:line="240"/>
        <w:rPr>
          <w:rFonts w:ascii="Calibri" w:hAnsi="Calibri"/>
        </w:rPr>
      </w:pPr>
      <w:bookmarkStart w:id="24" w:name="_Toc244923568"/>
      <w:bookmarkEnd w:id="24"/>
      <w:r>
        <w:rPr>
          <w:rFonts w:ascii="Calibri" w:hAnsi="Calibri"/>
        </w:rPr>
        <w:t>7.1 Gloves</w:t>
      </w:r>
    </w:p>
    <w:p>
      <w:pPr>
        <w:pStyle w:val="Normal"/>
        <w:spacing w:lineRule="auto" w:line="240"/>
        <w:jc w:val="both"/>
        <w:rPr>
          <w:rFonts w:cs="Tahoma"/>
        </w:rPr>
      </w:pPr>
      <w:r>
        <w:rPr>
          <w:rFonts w:cs="Tahoma"/>
        </w:rPr>
        <w:t>There are many different types of gloves available and these should be chosen carefully to offer the best protection for specific procedures and chemicals.</w:t>
      </w:r>
    </w:p>
    <w:p>
      <w:pPr>
        <w:pStyle w:val="Normal"/>
        <w:spacing w:lineRule="auto" w:line="240"/>
        <w:jc w:val="both"/>
        <w:rPr>
          <w:rFonts w:cs="Tahoma"/>
        </w:rPr>
      </w:pPr>
      <w:r>
        <w:rPr>
          <w:rFonts w:cs="Tahoma"/>
        </w:rPr>
        <w:t>Gloves must be worn where there is a specific risk to the hands including abrasion, temperature extremes, cuts and punctures, impact, chemicals, electric shock, skin infection, disease or contamination.</w:t>
      </w:r>
    </w:p>
    <w:p>
      <w:pPr>
        <w:pStyle w:val="Normal"/>
        <w:spacing w:lineRule="auto" w:line="240"/>
        <w:jc w:val="both"/>
        <w:rPr>
          <w:rFonts w:cs="Tahoma"/>
        </w:rPr>
      </w:pPr>
      <w:r>
        <w:rPr>
          <w:rFonts w:cs="Tahoma"/>
        </w:rPr>
        <w:t xml:space="preserve">Gloves must be changed and disposed of properly after contact with blood, body fluids, contaminated material and each service user. Gloves must be removed before leaving the work environment.  </w:t>
      </w:r>
    </w:p>
    <w:p>
      <w:pPr>
        <w:pStyle w:val="Heading2"/>
        <w:spacing w:lineRule="auto" w:line="240"/>
        <w:rPr>
          <w:rFonts w:ascii="Calibri" w:hAnsi="Calibri"/>
        </w:rPr>
      </w:pPr>
      <w:bookmarkStart w:id="25" w:name="_Toc244923569"/>
      <w:bookmarkEnd w:id="25"/>
      <w:r>
        <w:rPr>
          <w:rFonts w:ascii="Calibri" w:hAnsi="Calibri"/>
        </w:rPr>
        <w:t>7.2 Eye Protection</w:t>
      </w:r>
    </w:p>
    <w:p>
      <w:pPr>
        <w:pStyle w:val="Normal"/>
        <w:spacing w:lineRule="auto" w:line="240"/>
        <w:jc w:val="both"/>
        <w:rPr>
          <w:rFonts w:cs="Tahoma"/>
        </w:rPr>
      </w:pPr>
      <w:r>
        <w:rPr>
          <w:rFonts w:cs="Tahoma"/>
        </w:rPr>
        <w:t>Eye protection such as safety glasses, safety goggles or a full face shield should be worn where there is a risk of splashes, protruding objects, dust projectiles, gas and vapour to the eyes.</w:t>
      </w:r>
    </w:p>
    <w:p>
      <w:pPr>
        <w:pStyle w:val="Normal"/>
        <w:spacing w:lineRule="auto" w:line="240"/>
        <w:jc w:val="both"/>
        <w:rPr>
          <w:rFonts w:cs="Tahoma"/>
        </w:rPr>
      </w:pPr>
      <w:r>
        <w:rPr>
          <w:rFonts w:cs="Tahoma"/>
        </w:rPr>
        <w:t xml:space="preserve">When using high-pressure cleaning or spray equipment such as a knapsack sprayer, safety glasses with side shields are recommended. Work activities that produce chips or dust such as grinding/drilling, power fastening, or power tools require safety glasses with side shields as a minimum protection. </w:t>
      </w:r>
    </w:p>
    <w:p>
      <w:pPr>
        <w:pStyle w:val="Heading2"/>
        <w:spacing w:lineRule="auto" w:line="240"/>
        <w:rPr>
          <w:rFonts w:ascii="Calibri" w:hAnsi="Calibri"/>
        </w:rPr>
      </w:pPr>
      <w:bookmarkStart w:id="26" w:name="_Toc244923570"/>
      <w:bookmarkEnd w:id="26"/>
      <w:r>
        <w:rPr>
          <w:rFonts w:ascii="Calibri" w:hAnsi="Calibri"/>
        </w:rPr>
        <w:t>7.3 Respiratory protection</w:t>
      </w:r>
    </w:p>
    <w:p>
      <w:pPr>
        <w:pStyle w:val="Normal"/>
        <w:spacing w:lineRule="auto" w:line="240"/>
        <w:jc w:val="both"/>
        <w:rPr>
          <w:rFonts w:cs="Tahoma"/>
        </w:rPr>
      </w:pPr>
      <w:r>
        <w:rPr>
          <w:rFonts w:cs="Tahoma"/>
        </w:rPr>
        <w:t>Some employees may be required to wear respirators for specific job duties such as maintenance. Respirators include dust masks, air purifying negative pressure respirators, self-contained breathing apparatus, supplied air respirators, and other such devices</w:t>
      </w:r>
    </w:p>
    <w:p>
      <w:pPr>
        <w:pStyle w:val="Normal"/>
        <w:spacing w:lineRule="auto" w:line="240"/>
        <w:jc w:val="both"/>
        <w:rPr>
          <w:rFonts w:cs="Tahoma"/>
        </w:rPr>
      </w:pPr>
      <w:r>
        <w:rPr>
          <w:rFonts w:cs="Tahoma"/>
        </w:rPr>
        <w:t>If one must wear a respirator one must have a physical exam and be fit tested and trained before using it on the job. Respiratory protection must be worn for toxic and harmful dusts, gases and vapours, harmful micro-organisms such as bacteria and viruses.</w:t>
      </w:r>
    </w:p>
    <w:p>
      <w:pPr>
        <w:pStyle w:val="Heading2"/>
        <w:spacing w:lineRule="auto" w:line="240"/>
        <w:rPr>
          <w:rFonts w:ascii="Calibri" w:hAnsi="Calibri"/>
        </w:rPr>
      </w:pPr>
      <w:bookmarkStart w:id="27" w:name="_Toc244923571"/>
      <w:bookmarkEnd w:id="27"/>
      <w:r>
        <w:rPr>
          <w:rFonts w:ascii="Calibri" w:hAnsi="Calibri"/>
        </w:rPr>
        <w:t>7.4 Safety ropes and harnesses</w:t>
      </w:r>
    </w:p>
    <w:p>
      <w:pPr>
        <w:pStyle w:val="Normal"/>
        <w:spacing w:lineRule="auto" w:line="240"/>
        <w:jc w:val="both"/>
        <w:rPr>
          <w:rFonts w:cs="Tahoma"/>
        </w:rPr>
      </w:pPr>
      <w:r>
        <w:rPr>
          <w:rFonts w:cs="Tahoma"/>
        </w:rPr>
        <w:t>These must be worn where there is a risk of falling from a height. These are located in the maintenance department. All harnesses and safety equipment will be maintained to required Local British/European standards. Safety guidelines must be followed.</w:t>
      </w:r>
    </w:p>
    <w:p>
      <w:pPr>
        <w:pStyle w:val="Heading2"/>
        <w:spacing w:lineRule="auto" w:line="240"/>
        <w:rPr>
          <w:rFonts w:ascii="Calibri" w:hAnsi="Calibri"/>
        </w:rPr>
      </w:pPr>
      <w:bookmarkStart w:id="28" w:name="_Toc244923572"/>
      <w:bookmarkEnd w:id="28"/>
      <w:r>
        <w:rPr>
          <w:rFonts w:ascii="Calibri" w:hAnsi="Calibri"/>
        </w:rPr>
        <w:t>7.5 Disposable aprons</w:t>
      </w:r>
    </w:p>
    <w:p>
      <w:pPr>
        <w:pStyle w:val="Normal"/>
        <w:spacing w:lineRule="auto" w:line="240"/>
        <w:jc w:val="both"/>
        <w:rPr>
          <w:rFonts w:cs="Tahoma"/>
        </w:rPr>
      </w:pPr>
      <w:r>
        <w:rPr>
          <w:rFonts w:cs="Tahoma"/>
        </w:rPr>
        <w:t>Disposable aprons are supplied and are required to be worn, where there are risks of splashes. Disposable aprons must be disposed off before leaving the workplace.</w:t>
      </w:r>
    </w:p>
    <w:p>
      <w:pPr>
        <w:pStyle w:val="Heading2"/>
        <w:spacing w:lineRule="auto" w:line="240"/>
        <w:rPr>
          <w:rFonts w:ascii="Calibri" w:hAnsi="Calibri"/>
        </w:rPr>
      </w:pPr>
      <w:bookmarkStart w:id="29" w:name="_Toc244923573"/>
      <w:bookmarkEnd w:id="29"/>
      <w:r>
        <w:rPr>
          <w:rFonts w:ascii="Calibri" w:hAnsi="Calibri"/>
        </w:rPr>
        <w:t>7.6 Hearing protection</w:t>
      </w:r>
    </w:p>
    <w:p>
      <w:pPr>
        <w:pStyle w:val="Normal"/>
        <w:spacing w:lineRule="auto" w:line="240"/>
        <w:jc w:val="both"/>
        <w:rPr>
          <w:rFonts w:cs="Tahoma"/>
        </w:rPr>
      </w:pPr>
      <w:r>
        <w:rPr>
          <w:rFonts w:cs="Tahoma"/>
        </w:rPr>
        <w:t>It is recommended that hearing protection be worn if average noise levels exceed 80 dB over an eight hour period.  Ear Defender and earmuffs are provided and must be worn even for short exposures. The Safety, Health &amp; Welfare (General Applications) Regulations 2007 will be complied with in relation to noise.</w:t>
      </w:r>
    </w:p>
    <w:p>
      <w:pPr>
        <w:pStyle w:val="Heading2"/>
        <w:spacing w:lineRule="auto" w:line="240"/>
        <w:rPr>
          <w:rFonts w:ascii="Calibri" w:hAnsi="Calibri"/>
        </w:rPr>
      </w:pPr>
      <w:bookmarkStart w:id="30" w:name="_Toc244923574"/>
      <w:bookmarkEnd w:id="30"/>
      <w:r>
        <w:rPr>
          <w:rFonts w:ascii="Calibri" w:hAnsi="Calibri"/>
        </w:rPr>
        <w:t>7.7 Safety Shoes</w:t>
      </w:r>
    </w:p>
    <w:p>
      <w:pPr>
        <w:pStyle w:val="Normal"/>
        <w:spacing w:lineRule="auto" w:line="240"/>
        <w:jc w:val="both"/>
        <w:rPr>
          <w:rFonts w:cs="Tahoma"/>
        </w:rPr>
      </w:pPr>
      <w:r>
        <w:rPr>
          <w:rFonts w:cs="Tahoma"/>
        </w:rPr>
        <w:t>Safety shoes, boots or  theatre type clogs (crocs are not an alternative) are provided were hazards exist such as wet surfaces, electrostatic build up, slipping, cuts and punctures, falling objects, heavy pressures, chemical splashes and abrasion. Porters, bus personnel, catering, household and maintenance staff must wear safety shoes where required.</w:t>
      </w:r>
    </w:p>
    <w:p>
      <w:pPr>
        <w:pStyle w:val="Heading2"/>
        <w:spacing w:lineRule="auto" w:line="240"/>
        <w:rPr>
          <w:rFonts w:ascii="Calibri" w:hAnsi="Calibri"/>
        </w:rPr>
      </w:pPr>
      <w:bookmarkStart w:id="31" w:name="_Toc244923575"/>
      <w:bookmarkEnd w:id="31"/>
      <w:r>
        <w:rPr>
          <w:rFonts w:ascii="Calibri" w:hAnsi="Calibri"/>
        </w:rPr>
        <w:t>7.8 Head &amp; Neck Protective Clothing</w:t>
      </w:r>
    </w:p>
    <w:p>
      <w:pPr>
        <w:pStyle w:val="Normal"/>
        <w:spacing w:lineRule="auto" w:line="240"/>
        <w:jc w:val="both"/>
        <w:rPr>
          <w:rFonts w:cs="Tahoma"/>
        </w:rPr>
      </w:pPr>
      <w:r>
        <w:rPr>
          <w:rFonts w:cs="Tahoma"/>
        </w:rPr>
        <w:t>Impact from falling or flying objects, risk of hair entanglement, chemical splashes, climate or temperature and the risk of contaminating products by hair contact may require protective clothing. Hard hats, disposable hairnets, beard covers (snoods) and caps are present and must be worn by all staff members were the hazard warrants it.</w:t>
      </w:r>
    </w:p>
    <w:p>
      <w:pPr>
        <w:pStyle w:val="Heading2"/>
        <w:spacing w:lineRule="auto" w:line="240"/>
        <w:rPr>
          <w:rFonts w:ascii="Calibri" w:hAnsi="Calibri"/>
        </w:rPr>
      </w:pPr>
      <w:bookmarkStart w:id="32" w:name="_Toc244923576"/>
      <w:bookmarkEnd w:id="32"/>
      <w:r>
        <w:rPr>
          <w:rFonts w:ascii="Calibri" w:hAnsi="Calibri"/>
        </w:rPr>
        <w:t>7.9 Miscellaneous Personal Protective Equipment</w:t>
      </w:r>
    </w:p>
    <w:p>
      <w:pPr>
        <w:pStyle w:val="Normal"/>
        <w:spacing w:lineRule="auto" w:line="240"/>
        <w:jc w:val="both"/>
        <w:rPr>
          <w:rFonts w:cs="Tahoma"/>
        </w:rPr>
      </w:pPr>
      <w:r>
        <w:rPr>
          <w:rFonts w:cs="Tahoma"/>
        </w:rPr>
        <w:t>Some employees may be required to wear other types of PPE not mentioned in the above paragraphs. If you have questions about any type of PPE, please contact your Head of Department or Health &amp; Safety Officer for assistance.</w:t>
      </w:r>
    </w:p>
    <w:p>
      <w:pPr>
        <w:pStyle w:val="Heading1"/>
        <w:spacing w:lineRule="auto" w:line="240"/>
        <w:rPr>
          <w:rFonts w:ascii="Calibri" w:hAnsi="Calibri"/>
        </w:rPr>
      </w:pPr>
      <w:bookmarkStart w:id="33" w:name="_Toc244923577"/>
      <w:bookmarkEnd w:id="33"/>
      <w:r>
        <w:rPr>
          <w:rFonts w:ascii="Calibri" w:hAnsi="Calibri"/>
        </w:rPr>
        <w:t>8. Segregation of Waste</w:t>
      </w:r>
    </w:p>
    <w:p>
      <w:pPr>
        <w:pStyle w:val="Normal"/>
        <w:spacing w:lineRule="auto" w:line="240"/>
        <w:jc w:val="both"/>
        <w:rPr>
          <w:rFonts w:cs="Tahoma"/>
        </w:rPr>
      </w:pPr>
      <w:r>
        <w:rPr>
          <w:rFonts w:cs="Tahoma"/>
        </w:rPr>
        <w:t xml:space="preserve">Healthcare waste produced at </w:t>
      </w:r>
      <w:r>
        <w:rPr>
          <w:color w:val="000000"/>
          <w:sz w:val="24"/>
          <w:szCs w:val="24"/>
        </w:rPr>
        <w:t xml:space="preserve">Togher Boys’ </w:t>
      </w:r>
      <w:r>
        <w:rPr>
          <w:rFonts w:cs="Tahoma"/>
        </w:rPr>
        <w:t>NATIONAL SCHOOL is divided into:</w:t>
      </w:r>
    </w:p>
    <w:p>
      <w:pPr>
        <w:pStyle w:val="Normal"/>
        <w:numPr>
          <w:ilvl w:val="1"/>
          <w:numId w:val="28"/>
        </w:numPr>
        <w:spacing w:lineRule="auto" w:line="240" w:before="0" w:after="0"/>
        <w:ind w:left="284" w:hanging="284"/>
        <w:jc w:val="both"/>
        <w:rPr>
          <w:rFonts w:cs="Tahoma"/>
        </w:rPr>
      </w:pPr>
      <w:r>
        <w:rPr>
          <w:rFonts w:cs="Tahoma"/>
        </w:rPr>
        <w:t>Healthcare risk waste (clinical waste such as syringes, bandages contaminated with blood, blood products and infectious / contaminated nappies).</w:t>
      </w:r>
    </w:p>
    <w:p>
      <w:pPr>
        <w:pStyle w:val="Normal"/>
        <w:numPr>
          <w:ilvl w:val="1"/>
          <w:numId w:val="28"/>
        </w:numPr>
        <w:spacing w:lineRule="auto" w:line="240" w:before="0" w:after="0"/>
        <w:ind w:left="284" w:hanging="284"/>
        <w:jc w:val="both"/>
        <w:rPr>
          <w:rFonts w:cs="Tahoma"/>
        </w:rPr>
      </w:pPr>
      <w:r>
        <w:rPr>
          <w:rFonts w:cs="Tahoma"/>
        </w:rPr>
        <w:t>Healthcare non-risk waste including catering, household or domestic waste including food, paper, cardboard, magazines and plastic bottles.</w:t>
      </w:r>
    </w:p>
    <w:p>
      <w:pPr>
        <w:pStyle w:val="Normal"/>
        <w:numPr>
          <w:ilvl w:val="1"/>
          <w:numId w:val="28"/>
        </w:numPr>
        <w:spacing w:lineRule="auto" w:line="240" w:before="0" w:after="0"/>
        <w:ind w:left="284" w:hanging="284"/>
        <w:jc w:val="both"/>
        <w:rPr>
          <w:rFonts w:cs="Tahoma"/>
        </w:rPr>
      </w:pPr>
      <w:r>
        <w:rPr>
          <w:rFonts w:cs="Tahoma"/>
        </w:rPr>
        <w:t>Other waste including hazardous waste including chemicals, fridges, batteries, electric and electronic waste. Recycled waste such as clear glass.</w:t>
      </w:r>
    </w:p>
    <w:p>
      <w:pPr>
        <w:pStyle w:val="Normal"/>
        <w:spacing w:lineRule="auto" w:line="240" w:before="0" w:after="0"/>
        <w:jc w:val="both"/>
        <w:rPr>
          <w:rFonts w:cs="Tahoma"/>
        </w:rPr>
      </w:pPr>
      <w:r>
        <w:rPr>
          <w:rFonts w:cs="Tahoma"/>
        </w:rPr>
        <w:t>Compliance must be in line with National and International legislation and guidance. Waste generated within the School must be segregated for disposal at source. When removing waste, employees must wear gloves and other appropriate PPE. For full instructions reference must be made to the latest version of relevant procedures, the latest version of segregation tables distributed to the units, stickers on the yellow bins and posters distributed throughout the School.</w:t>
      </w:r>
    </w:p>
    <w:p>
      <w:pPr>
        <w:pStyle w:val="Normal"/>
        <w:spacing w:lineRule="auto" w:line="240" w:before="0" w:after="0"/>
        <w:jc w:val="both"/>
        <w:rPr>
          <w:rFonts w:cs="Tahoma"/>
        </w:rPr>
      </w:pPr>
      <w:r>
        <w:rPr>
          <w:rFonts w:cs="Tahoma"/>
        </w:rPr>
      </w:r>
    </w:p>
    <w:p>
      <w:pPr>
        <w:pStyle w:val="Normal"/>
        <w:spacing w:lineRule="auto" w:line="240"/>
        <w:jc w:val="both"/>
        <w:rPr>
          <w:rFonts w:cs="Tahoma"/>
        </w:rPr>
      </w:pPr>
      <w:r>
        <w:rPr>
          <w:rFonts w:cs="Tahoma"/>
        </w:rPr>
        <w:t>Healthcare risk wastes to be discarded into yellow bags include the following.</w:t>
      </w:r>
    </w:p>
    <w:p>
      <w:pPr>
        <w:pStyle w:val="Normal"/>
        <w:numPr>
          <w:ilvl w:val="1"/>
          <w:numId w:val="29"/>
        </w:numPr>
        <w:spacing w:lineRule="auto" w:line="240" w:before="0" w:after="0"/>
        <w:ind w:left="284" w:hanging="284"/>
        <w:jc w:val="both"/>
        <w:rPr>
          <w:rFonts w:cs="Tahoma"/>
        </w:rPr>
      </w:pPr>
      <w:r>
        <w:rPr>
          <w:rFonts w:cs="Tahoma"/>
        </w:rPr>
        <w:t>Any “soft” items soiled with blood,</w:t>
      </w:r>
    </w:p>
    <w:p>
      <w:pPr>
        <w:pStyle w:val="Normal"/>
        <w:numPr>
          <w:ilvl w:val="1"/>
          <w:numId w:val="29"/>
        </w:numPr>
        <w:spacing w:lineRule="auto" w:line="240" w:before="0" w:after="0"/>
        <w:ind w:left="284" w:hanging="284"/>
        <w:jc w:val="both"/>
        <w:rPr>
          <w:rFonts w:cs="Tahoma"/>
        </w:rPr>
      </w:pPr>
      <w:r>
        <w:rPr>
          <w:rFonts w:cs="Tahoma"/>
        </w:rPr>
        <w:t>Wound dressings, wound drains and other contaminated waste from treatments,</w:t>
      </w:r>
    </w:p>
    <w:p>
      <w:pPr>
        <w:pStyle w:val="Normal"/>
        <w:numPr>
          <w:ilvl w:val="1"/>
          <w:numId w:val="29"/>
        </w:numPr>
        <w:spacing w:lineRule="auto" w:line="240" w:before="0" w:after="0"/>
        <w:ind w:left="284" w:hanging="284"/>
        <w:jc w:val="both"/>
        <w:rPr>
          <w:rFonts w:cs="Tahoma"/>
        </w:rPr>
      </w:pPr>
      <w:r>
        <w:rPr>
          <w:rFonts w:cs="Tahoma"/>
        </w:rPr>
        <w:t>Disposable aprons, gloves and gowns that are blood stained,</w:t>
      </w:r>
    </w:p>
    <w:p>
      <w:pPr>
        <w:pStyle w:val="Normal"/>
        <w:numPr>
          <w:ilvl w:val="1"/>
          <w:numId w:val="29"/>
        </w:numPr>
        <w:spacing w:lineRule="auto" w:line="240" w:before="0" w:after="0"/>
        <w:ind w:left="284" w:hanging="284"/>
        <w:jc w:val="both"/>
        <w:rPr>
          <w:rFonts w:cs="Tahoma"/>
        </w:rPr>
      </w:pPr>
      <w:r>
        <w:rPr>
          <w:rFonts w:cs="Tahoma"/>
        </w:rPr>
        <w:t>Empty urinary catheters, drainage bags and tubing / suction tubing,</w:t>
      </w:r>
    </w:p>
    <w:p>
      <w:pPr>
        <w:pStyle w:val="Normal"/>
        <w:numPr>
          <w:ilvl w:val="1"/>
          <w:numId w:val="29"/>
        </w:numPr>
        <w:spacing w:lineRule="auto" w:line="240" w:before="0" w:after="0"/>
        <w:ind w:left="284" w:hanging="284"/>
        <w:jc w:val="both"/>
        <w:rPr>
          <w:rFonts w:cs="Tahoma"/>
        </w:rPr>
      </w:pPr>
      <w:r>
        <w:rPr>
          <w:rFonts w:cs="Tahoma"/>
        </w:rPr>
        <w:t>Paper towels contaminated with blood,</w:t>
      </w:r>
    </w:p>
    <w:p>
      <w:pPr>
        <w:pStyle w:val="Normal"/>
        <w:numPr>
          <w:ilvl w:val="1"/>
          <w:numId w:val="29"/>
        </w:numPr>
        <w:spacing w:lineRule="auto" w:line="240" w:before="0" w:after="0"/>
        <w:ind w:left="284" w:hanging="284"/>
        <w:jc w:val="both"/>
        <w:rPr>
          <w:rFonts w:cs="Tahoma"/>
        </w:rPr>
      </w:pPr>
      <w:r>
        <w:rPr>
          <w:rFonts w:cs="Tahoma"/>
        </w:rPr>
        <w:t xml:space="preserve">All “soft” waste from isolated students and </w:t>
      </w:r>
    </w:p>
    <w:p>
      <w:pPr>
        <w:pStyle w:val="Normal"/>
        <w:numPr>
          <w:ilvl w:val="1"/>
          <w:numId w:val="29"/>
        </w:numPr>
        <w:spacing w:lineRule="auto" w:line="240" w:before="0" w:after="0"/>
        <w:ind w:left="284" w:hanging="284"/>
        <w:jc w:val="both"/>
        <w:rPr>
          <w:rFonts w:cs="Tahoma"/>
        </w:rPr>
      </w:pPr>
      <w:r>
        <w:rPr>
          <w:rFonts w:cs="Tahoma"/>
        </w:rPr>
        <w:t>Nappies from isolation students.</w:t>
      </w:r>
    </w:p>
    <w:p>
      <w:pPr>
        <w:pStyle w:val="Normal"/>
        <w:spacing w:lineRule="auto" w:line="240" w:before="0" w:after="0"/>
        <w:ind w:left="284" w:hanging="0"/>
        <w:jc w:val="both"/>
        <w:rPr>
          <w:rFonts w:cs="Tahoma"/>
        </w:rPr>
      </w:pPr>
      <w:r>
        <w:rPr>
          <w:rFonts w:cs="Tahoma"/>
        </w:rPr>
      </w:r>
    </w:p>
    <w:p>
      <w:pPr>
        <w:pStyle w:val="Normal"/>
        <w:spacing w:lineRule="auto" w:line="240" w:before="0" w:after="0"/>
        <w:jc w:val="both"/>
        <w:rPr>
          <w:rFonts w:cs="Tahoma"/>
        </w:rPr>
      </w:pPr>
      <w:r>
        <w:rPr>
          <w:rFonts w:cs="Tahoma"/>
        </w:rPr>
        <w:t>The following items must not be disposed of in yellow bags</w:t>
      </w:r>
    </w:p>
    <w:p>
      <w:pPr>
        <w:pStyle w:val="Normal"/>
        <w:spacing w:lineRule="auto" w:line="240" w:before="0" w:after="0"/>
        <w:jc w:val="both"/>
        <w:rPr>
          <w:rFonts w:cs="Tahoma"/>
        </w:rPr>
      </w:pPr>
      <w:r>
        <w:rPr>
          <w:rFonts w:cs="Tahoma"/>
        </w:rPr>
      </w:r>
    </w:p>
    <w:p>
      <w:pPr>
        <w:pStyle w:val="Normal"/>
        <w:numPr>
          <w:ilvl w:val="1"/>
          <w:numId w:val="1"/>
        </w:numPr>
        <w:spacing w:lineRule="auto" w:line="240" w:before="0" w:after="0"/>
        <w:ind w:left="284" w:hanging="284"/>
        <w:jc w:val="both"/>
        <w:rPr>
          <w:rFonts w:cs="Tahoma"/>
        </w:rPr>
      </w:pPr>
      <w:r>
        <w:rPr>
          <w:rFonts w:cs="Tahoma"/>
        </w:rPr>
        <w:t>Free liquids such as blood,</w:t>
      </w:r>
    </w:p>
    <w:p>
      <w:pPr>
        <w:pStyle w:val="Normal"/>
        <w:numPr>
          <w:ilvl w:val="1"/>
          <w:numId w:val="1"/>
        </w:numPr>
        <w:spacing w:lineRule="auto" w:line="240" w:before="0" w:after="0"/>
        <w:ind w:left="284" w:hanging="284"/>
        <w:jc w:val="both"/>
        <w:rPr>
          <w:rFonts w:cs="Tahoma"/>
        </w:rPr>
      </w:pPr>
      <w:r>
        <w:rPr>
          <w:rFonts w:cs="Tahoma"/>
        </w:rPr>
        <w:t>Sharp items such as needles, razors and scalpels or</w:t>
      </w:r>
    </w:p>
    <w:p>
      <w:pPr>
        <w:pStyle w:val="Normal"/>
        <w:numPr>
          <w:ilvl w:val="1"/>
          <w:numId w:val="1"/>
        </w:numPr>
        <w:spacing w:lineRule="auto" w:line="240" w:before="0" w:after="0"/>
        <w:ind w:left="284" w:hanging="284"/>
        <w:jc w:val="both"/>
        <w:rPr>
          <w:rFonts w:cs="Tahoma"/>
        </w:rPr>
      </w:pPr>
      <w:r>
        <w:rPr>
          <w:rFonts w:cs="Tahoma"/>
        </w:rPr>
        <w:t>Large quantities of pharmaceuticals / medication</w:t>
      </w:r>
    </w:p>
    <w:p>
      <w:pPr>
        <w:pStyle w:val="Normal"/>
        <w:spacing w:lineRule="auto" w:line="240" w:before="0" w:after="0"/>
        <w:ind w:left="284" w:hanging="0"/>
        <w:jc w:val="both"/>
        <w:rPr>
          <w:rFonts w:cs="Tahoma"/>
        </w:rPr>
      </w:pPr>
      <w:r>
        <w:rPr>
          <w:rFonts w:cs="Tahoma"/>
        </w:rPr>
      </w:r>
    </w:p>
    <w:p>
      <w:pPr>
        <w:pStyle w:val="Normal"/>
        <w:spacing w:lineRule="auto" w:line="240" w:before="0" w:after="0"/>
        <w:jc w:val="both"/>
        <w:rPr>
          <w:rFonts w:cs="Tahoma"/>
        </w:rPr>
      </w:pPr>
      <w:r>
        <w:rPr>
          <w:rFonts w:cs="Tahoma"/>
        </w:rPr>
        <w:t>Yellow bags (Healthcare risk waste) must only be filled to two thirds of capacity. They must be tagged prior to being placed into a yellow wheelie container.</w:t>
      </w:r>
    </w:p>
    <w:p>
      <w:pPr>
        <w:pStyle w:val="Heading2"/>
        <w:spacing w:lineRule="auto" w:line="240"/>
        <w:rPr>
          <w:rFonts w:ascii="Calibri" w:hAnsi="Calibri"/>
        </w:rPr>
      </w:pPr>
      <w:bookmarkStart w:id="34" w:name="_Toc244923578"/>
      <w:bookmarkEnd w:id="34"/>
      <w:r>
        <w:rPr>
          <w:rFonts w:ascii="Calibri" w:hAnsi="Calibri"/>
        </w:rPr>
        <w:t>8.1.2 HEALTHCARE Risk Waste (Clinical Waste) disposed of in Rigid Containers</w:t>
      </w:r>
    </w:p>
    <w:p>
      <w:pPr>
        <w:pStyle w:val="Normal"/>
        <w:spacing w:lineRule="auto" w:line="240"/>
        <w:jc w:val="both"/>
        <w:rPr>
          <w:rFonts w:cs="Tahoma"/>
        </w:rPr>
      </w:pPr>
      <w:r>
        <w:rPr>
          <w:rFonts w:cs="Tahoma"/>
        </w:rPr>
        <w:t>For full instructions, reference must be made to the latest version of relevant procedures, the latest version of segregation tables distributed to the units, stickers on the yellow bins, and posters distributed throughout the School.</w:t>
      </w:r>
    </w:p>
    <w:p>
      <w:pPr>
        <w:pStyle w:val="Normal"/>
        <w:spacing w:lineRule="auto" w:line="240"/>
        <w:jc w:val="both"/>
        <w:rPr>
          <w:rFonts w:cs="Tahoma"/>
          <w:b/>
          <w:b/>
        </w:rPr>
      </w:pPr>
      <w:r>
        <w:rPr>
          <w:rFonts w:cs="Tahoma"/>
          <w:b/>
        </w:rPr>
        <w:t>Yellow rigid box with red or blue lid</w:t>
      </w:r>
    </w:p>
    <w:p>
      <w:pPr>
        <w:pStyle w:val="Normal"/>
        <w:spacing w:lineRule="auto" w:line="240"/>
        <w:jc w:val="both"/>
        <w:rPr>
          <w:rFonts w:cs="Tahoma"/>
        </w:rPr>
      </w:pPr>
      <w:r>
        <w:rPr>
          <w:rFonts w:cs="Tahoma"/>
        </w:rPr>
        <w:t>For sharps include injection needles, syringes, phials, glass ampoules, disposable scalpels, scalpel blades and lancets.</w:t>
      </w:r>
    </w:p>
    <w:p>
      <w:pPr>
        <w:pStyle w:val="Normal"/>
        <w:spacing w:lineRule="auto" w:line="240"/>
        <w:jc w:val="both"/>
        <w:rPr>
          <w:rFonts w:cs="Tahoma"/>
        </w:rPr>
      </w:pPr>
      <w:r>
        <w:rPr>
          <w:rFonts w:cs="Tahoma"/>
        </w:rPr>
        <w:t>Sharps must be disposed of directly by the user into the Sharps Box. When 3/4 full or when waste content reaches the manufacturer’s line on the box, it must be properly and securely closed and locked, tagged, and disposed of in the nearest yellow wheelie container.</w:t>
      </w:r>
    </w:p>
    <w:p>
      <w:pPr>
        <w:pStyle w:val="Normal"/>
        <w:spacing w:lineRule="auto" w:line="240"/>
        <w:jc w:val="both"/>
        <w:rPr>
          <w:rFonts w:cs="Tahoma"/>
          <w:b/>
          <w:b/>
        </w:rPr>
      </w:pPr>
      <w:r>
        <w:rPr>
          <w:rFonts w:cs="Tahoma"/>
          <w:b/>
        </w:rPr>
        <w:t>Yellow rigid box with yellow lid</w:t>
      </w:r>
    </w:p>
    <w:p>
      <w:pPr>
        <w:pStyle w:val="Normal"/>
        <w:spacing w:lineRule="auto" w:line="240"/>
        <w:jc w:val="both"/>
        <w:rPr>
          <w:rFonts w:cs="Tahoma"/>
        </w:rPr>
      </w:pPr>
      <w:r>
        <w:rPr>
          <w:rFonts w:cs="Tahoma"/>
        </w:rPr>
        <w:t>The yellow rigid box with a yellow lid is for material containing free liquids / body fluids but not in bulk such as probes and bags from urinary drainage, gastric or bronchial suction and for suction container and liners.</w:t>
      </w:r>
    </w:p>
    <w:p>
      <w:pPr>
        <w:pStyle w:val="Normal"/>
        <w:spacing w:lineRule="auto" w:line="240"/>
        <w:jc w:val="both"/>
        <w:rPr>
          <w:rFonts w:cs="Tahoma"/>
        </w:rPr>
      </w:pPr>
      <w:r>
        <w:rPr>
          <w:rFonts w:cs="Tahoma"/>
        </w:rPr>
        <w:t>When 3/4 full or when waste content reached the manufacturer’s line on the box, it must be properly and securely closed and locked, tagged, and disposed of in the nearest yellow wheelie container.</w:t>
      </w:r>
    </w:p>
    <w:p>
      <w:pPr>
        <w:pStyle w:val="Heading2"/>
        <w:spacing w:lineRule="auto" w:line="240"/>
        <w:rPr>
          <w:rFonts w:ascii="Calibri" w:hAnsi="Calibri"/>
        </w:rPr>
      </w:pPr>
      <w:bookmarkStart w:id="35" w:name="_Toc244923579"/>
      <w:bookmarkEnd w:id="35"/>
      <w:r>
        <w:rPr>
          <w:rFonts w:ascii="Calibri" w:hAnsi="Calibri"/>
        </w:rPr>
        <w:t>8.2 Healthcare Non – Risk Waste (Household / Domestic Waste)</w:t>
      </w:r>
    </w:p>
    <w:p>
      <w:pPr>
        <w:pStyle w:val="Normal"/>
        <w:spacing w:lineRule="auto" w:line="240"/>
        <w:jc w:val="both"/>
        <w:rPr>
          <w:rFonts w:cs="Tahoma"/>
        </w:rPr>
      </w:pPr>
      <w:r>
        <w:rPr>
          <w:rFonts w:cs="Tahoma"/>
        </w:rPr>
        <w:t>For full instructions reference must be made to the latest version of relevant procedures, the latest version of segregation tables distributed to the units, stickers on the white bins and posters distributed throughout the School. This waste is disposed of in clear bags. Healthcare non-risk wastes include:</w:t>
      </w:r>
    </w:p>
    <w:p>
      <w:pPr>
        <w:pStyle w:val="Normal"/>
        <w:numPr>
          <w:ilvl w:val="1"/>
          <w:numId w:val="30"/>
        </w:numPr>
        <w:tabs>
          <w:tab w:val="left" w:pos="284" w:leader="none"/>
        </w:tabs>
        <w:spacing w:lineRule="auto" w:line="240" w:before="0" w:after="0"/>
        <w:ind w:left="284" w:hanging="284"/>
        <w:jc w:val="both"/>
        <w:rPr>
          <w:rFonts w:cs="Tahoma"/>
        </w:rPr>
      </w:pPr>
      <w:r>
        <w:rPr>
          <w:rFonts w:cs="Tahoma"/>
        </w:rPr>
        <w:t>All normal household, catering and all non-infectious waste, including nappies from non-infectious students.</w:t>
      </w:r>
    </w:p>
    <w:p>
      <w:pPr>
        <w:pStyle w:val="Normal"/>
        <w:numPr>
          <w:ilvl w:val="1"/>
          <w:numId w:val="30"/>
        </w:numPr>
        <w:tabs>
          <w:tab w:val="left" w:pos="284" w:leader="none"/>
        </w:tabs>
        <w:spacing w:lineRule="auto" w:line="240" w:before="0" w:after="0"/>
        <w:ind w:left="284" w:hanging="284"/>
        <w:jc w:val="both"/>
        <w:rPr>
          <w:rFonts w:cs="Tahoma"/>
        </w:rPr>
      </w:pPr>
      <w:r>
        <w:rPr>
          <w:rFonts w:cs="Tahoma"/>
        </w:rPr>
        <w:t>Wrapping paper, including sterilised and non-soiled packaging of medical devices</w:t>
      </w:r>
    </w:p>
    <w:p>
      <w:pPr>
        <w:pStyle w:val="Normal"/>
        <w:numPr>
          <w:ilvl w:val="1"/>
          <w:numId w:val="30"/>
        </w:numPr>
        <w:tabs>
          <w:tab w:val="left" w:pos="284" w:leader="none"/>
        </w:tabs>
        <w:spacing w:lineRule="auto" w:line="240" w:before="0" w:after="0"/>
        <w:ind w:left="284" w:hanging="284"/>
        <w:jc w:val="both"/>
        <w:rPr>
          <w:rFonts w:cs="Tahoma"/>
        </w:rPr>
      </w:pPr>
      <w:r>
        <w:rPr>
          <w:rFonts w:cs="Tahoma"/>
        </w:rPr>
        <w:t>Aerosol cans and canisters, flowers, office waste, etc.</w:t>
      </w:r>
    </w:p>
    <w:p>
      <w:pPr>
        <w:pStyle w:val="Normal"/>
        <w:tabs>
          <w:tab w:val="left" w:pos="284" w:leader="none"/>
        </w:tabs>
        <w:spacing w:lineRule="auto" w:line="240" w:before="0" w:after="0"/>
        <w:ind w:left="284" w:hanging="0"/>
        <w:jc w:val="both"/>
        <w:rPr>
          <w:rFonts w:cs="Tahoma"/>
        </w:rPr>
      </w:pPr>
      <w:r>
        <w:rPr>
          <w:rFonts w:cs="Tahoma"/>
        </w:rPr>
      </w:r>
    </w:p>
    <w:p>
      <w:pPr>
        <w:pStyle w:val="Normal"/>
        <w:spacing w:lineRule="auto" w:line="240"/>
        <w:jc w:val="both"/>
        <w:rPr>
          <w:rFonts w:cs="Tahoma"/>
        </w:rPr>
      </w:pPr>
      <w:r>
        <w:rPr>
          <w:rFonts w:cs="Tahoma"/>
        </w:rPr>
        <w:t>Clear bags (Healthcare non-risk waste) must only be filled to two thirds full. They must not contain any free liquids of any types. They must be tagged prior to being placed into a green wheelie container.</w:t>
      </w:r>
    </w:p>
    <w:p>
      <w:pPr>
        <w:pStyle w:val="Heading2"/>
        <w:spacing w:lineRule="auto" w:line="240"/>
        <w:rPr>
          <w:rFonts w:ascii="Calibri" w:hAnsi="Calibri"/>
        </w:rPr>
      </w:pPr>
      <w:bookmarkStart w:id="36" w:name="_Toc244923580"/>
      <w:bookmarkEnd w:id="36"/>
      <w:r>
        <w:rPr>
          <w:rFonts w:ascii="Calibri" w:hAnsi="Calibri"/>
        </w:rPr>
        <w:t>8.3 Hazardous Waste and Recycled Waste</w:t>
      </w:r>
    </w:p>
    <w:p>
      <w:pPr>
        <w:pStyle w:val="Normal"/>
        <w:spacing w:lineRule="auto" w:line="240"/>
        <w:jc w:val="both"/>
        <w:rPr>
          <w:rFonts w:cs="Tahoma"/>
        </w:rPr>
      </w:pPr>
      <w:r>
        <w:rPr>
          <w:rFonts w:cs="Tahoma"/>
        </w:rPr>
        <w:t xml:space="preserve">The following wastes must be recycled or disposed of in an appropriate manner due to their hazardous properties. </w:t>
      </w:r>
    </w:p>
    <w:p>
      <w:pPr>
        <w:pStyle w:val="Normal"/>
        <w:spacing w:lineRule="auto" w:line="240"/>
        <w:jc w:val="both"/>
        <w:rPr>
          <w:rFonts w:cs="Tahoma"/>
        </w:rPr>
      </w:pPr>
      <w:r>
        <w:rPr>
          <w:rFonts w:cs="Tahoma"/>
        </w:rPr>
        <w:t>Non-hazardous wastes is segregated in the units / department of production and recycled include:</w:t>
      </w:r>
    </w:p>
    <w:p>
      <w:pPr>
        <w:pStyle w:val="Normal"/>
        <w:numPr>
          <w:ilvl w:val="1"/>
          <w:numId w:val="31"/>
        </w:numPr>
        <w:spacing w:lineRule="auto" w:line="240" w:before="0" w:after="0"/>
        <w:ind w:left="284" w:hanging="284"/>
        <w:jc w:val="both"/>
        <w:rPr>
          <w:rFonts w:cs="Tahoma"/>
        </w:rPr>
      </w:pPr>
      <w:r>
        <w:rPr>
          <w:rFonts w:cs="Tahoma"/>
        </w:rPr>
        <w:t>Clear glass,</w:t>
      </w:r>
    </w:p>
    <w:p>
      <w:pPr>
        <w:pStyle w:val="Normal"/>
        <w:numPr>
          <w:ilvl w:val="1"/>
          <w:numId w:val="31"/>
        </w:numPr>
        <w:spacing w:lineRule="auto" w:line="240" w:before="0" w:after="0"/>
        <w:ind w:left="284" w:hanging="284"/>
        <w:jc w:val="both"/>
        <w:rPr>
          <w:rFonts w:cs="Tahoma"/>
        </w:rPr>
      </w:pPr>
      <w:r>
        <w:rPr>
          <w:rFonts w:cs="Tahoma"/>
        </w:rPr>
        <w:t>Brown glass,</w:t>
      </w:r>
    </w:p>
    <w:p>
      <w:pPr>
        <w:pStyle w:val="Normal"/>
        <w:numPr>
          <w:ilvl w:val="1"/>
          <w:numId w:val="31"/>
        </w:numPr>
        <w:spacing w:lineRule="auto" w:line="240" w:before="0" w:after="0"/>
        <w:ind w:left="284" w:hanging="284"/>
        <w:jc w:val="both"/>
        <w:rPr>
          <w:rFonts w:cs="Tahoma"/>
        </w:rPr>
      </w:pPr>
      <w:r>
        <w:rPr>
          <w:rFonts w:cs="Tahoma"/>
        </w:rPr>
        <w:t>Cooking oil,</w:t>
      </w:r>
    </w:p>
    <w:p>
      <w:pPr>
        <w:pStyle w:val="Normal"/>
        <w:numPr>
          <w:ilvl w:val="1"/>
          <w:numId w:val="31"/>
        </w:numPr>
        <w:spacing w:lineRule="auto" w:line="240" w:before="0" w:after="0"/>
        <w:ind w:left="284" w:hanging="284"/>
        <w:jc w:val="both"/>
        <w:rPr>
          <w:rFonts w:cs="Tahoma"/>
        </w:rPr>
      </w:pPr>
      <w:r>
        <w:rPr>
          <w:rFonts w:cs="Tahoma"/>
        </w:rPr>
        <w:t>Ink cartridges,</w:t>
      </w:r>
    </w:p>
    <w:p>
      <w:pPr>
        <w:pStyle w:val="Normal"/>
        <w:numPr>
          <w:ilvl w:val="1"/>
          <w:numId w:val="31"/>
        </w:numPr>
        <w:spacing w:lineRule="auto" w:line="240" w:before="0" w:after="0"/>
        <w:ind w:left="284" w:hanging="284"/>
        <w:jc w:val="both"/>
        <w:rPr>
          <w:rFonts w:cs="Tahoma"/>
        </w:rPr>
      </w:pPr>
      <w:r>
        <w:rPr>
          <w:rFonts w:cs="Tahoma"/>
        </w:rPr>
        <w:t>Cardboard, Plastic bottles, paper, aluminium cans and shredded paper and</w:t>
      </w:r>
    </w:p>
    <w:p>
      <w:pPr>
        <w:pStyle w:val="Normal"/>
        <w:numPr>
          <w:ilvl w:val="1"/>
          <w:numId w:val="31"/>
        </w:numPr>
        <w:spacing w:lineRule="auto" w:line="240" w:before="0" w:after="0"/>
        <w:ind w:left="284" w:hanging="284"/>
        <w:jc w:val="both"/>
        <w:rPr>
          <w:rFonts w:cs="Tahoma"/>
        </w:rPr>
      </w:pPr>
      <w:r>
        <w:rPr>
          <w:rFonts w:cs="Tahoma"/>
        </w:rPr>
        <w:t>Any other waste as per instructions / procedure.</w:t>
      </w:r>
    </w:p>
    <w:p>
      <w:pPr>
        <w:pStyle w:val="Normal"/>
        <w:spacing w:lineRule="auto" w:line="240" w:before="0" w:after="0"/>
        <w:ind w:left="1440" w:hanging="0"/>
        <w:jc w:val="both"/>
        <w:rPr>
          <w:rFonts w:cs="Tahoma"/>
        </w:rPr>
      </w:pPr>
      <w:r>
        <w:rPr>
          <w:rFonts w:cs="Tahoma"/>
        </w:rPr>
      </w:r>
    </w:p>
    <w:p>
      <w:pPr>
        <w:pStyle w:val="Normal"/>
        <w:spacing w:lineRule="auto" w:line="240" w:before="0" w:after="0"/>
        <w:jc w:val="both"/>
        <w:rPr>
          <w:rFonts w:cs="Tahoma"/>
        </w:rPr>
      </w:pPr>
      <w:r>
        <w:rPr>
          <w:rFonts w:cs="Tahoma"/>
        </w:rPr>
        <w:t>Hazardous waste segregated in the units / department of production, and disposed of in an appropriate manner includes:</w:t>
      </w:r>
    </w:p>
    <w:p>
      <w:pPr>
        <w:pStyle w:val="Normal"/>
        <w:spacing w:lineRule="auto" w:line="240" w:before="0" w:after="0"/>
        <w:jc w:val="both"/>
        <w:rPr>
          <w:rFonts w:cs="Tahoma"/>
        </w:rPr>
      </w:pPr>
      <w:r>
        <w:rPr>
          <w:rFonts w:cs="Tahoma"/>
        </w:rPr>
      </w:r>
    </w:p>
    <w:p>
      <w:pPr>
        <w:pStyle w:val="Normal"/>
        <w:numPr>
          <w:ilvl w:val="1"/>
          <w:numId w:val="32"/>
        </w:numPr>
        <w:spacing w:lineRule="auto" w:line="240" w:before="0" w:after="0"/>
        <w:ind w:left="284" w:hanging="284"/>
        <w:jc w:val="both"/>
        <w:rPr>
          <w:rFonts w:cs="Tahoma"/>
        </w:rPr>
      </w:pPr>
      <w:r>
        <w:rPr>
          <w:rFonts w:cs="Tahoma"/>
        </w:rPr>
        <w:t>Batteries,</w:t>
      </w:r>
    </w:p>
    <w:p>
      <w:pPr>
        <w:pStyle w:val="Normal"/>
        <w:numPr>
          <w:ilvl w:val="1"/>
          <w:numId w:val="32"/>
        </w:numPr>
        <w:spacing w:lineRule="auto" w:line="240" w:before="0" w:after="0"/>
        <w:ind w:left="284" w:hanging="284"/>
        <w:jc w:val="both"/>
        <w:rPr>
          <w:rFonts w:cs="Tahoma"/>
        </w:rPr>
      </w:pPr>
      <w:r>
        <w:rPr>
          <w:rFonts w:cs="Tahoma"/>
        </w:rPr>
        <w:t>Fridges,</w:t>
      </w:r>
    </w:p>
    <w:p>
      <w:pPr>
        <w:pStyle w:val="Normal"/>
        <w:numPr>
          <w:ilvl w:val="1"/>
          <w:numId w:val="32"/>
        </w:numPr>
        <w:spacing w:lineRule="auto" w:line="240" w:before="0" w:after="0"/>
        <w:ind w:left="284" w:hanging="284"/>
        <w:jc w:val="both"/>
        <w:rPr>
          <w:rFonts w:cs="Tahoma"/>
        </w:rPr>
      </w:pPr>
      <w:r>
        <w:rPr>
          <w:rFonts w:cs="Tahoma"/>
        </w:rPr>
        <w:t>Electric and electronic waste equipment such as PC, printers or TV, monitors and</w:t>
      </w:r>
    </w:p>
    <w:p>
      <w:pPr>
        <w:pStyle w:val="Normal"/>
        <w:numPr>
          <w:ilvl w:val="1"/>
          <w:numId w:val="32"/>
        </w:numPr>
        <w:tabs>
          <w:tab w:val="left" w:pos="284" w:leader="none"/>
        </w:tabs>
        <w:spacing w:lineRule="auto" w:line="240" w:before="0" w:after="0"/>
        <w:ind w:left="284" w:hanging="284"/>
        <w:jc w:val="both"/>
        <w:rPr>
          <w:rFonts w:cs="Tahoma"/>
        </w:rPr>
      </w:pPr>
      <w:r>
        <w:rPr>
          <w:rFonts w:cs="Tahoma"/>
        </w:rPr>
        <w:t xml:space="preserve">Waste containing mercury such as mercury thermometers, sphygmomanometers or fluorescent tubes.  </w:t>
      </w:r>
    </w:p>
    <w:p>
      <w:pPr>
        <w:pStyle w:val="Heading1"/>
        <w:spacing w:lineRule="auto" w:line="240"/>
        <w:rPr>
          <w:rFonts w:ascii="Calibri" w:hAnsi="Calibri"/>
        </w:rPr>
      </w:pPr>
      <w:bookmarkStart w:id="37" w:name="_Toc244923581"/>
      <w:bookmarkEnd w:id="37"/>
      <w:r>
        <w:rPr>
          <w:rFonts w:ascii="Calibri" w:hAnsi="Calibri"/>
        </w:rPr>
        <w:t>9. Fire Protection Within the School</w:t>
      </w:r>
    </w:p>
    <w:p>
      <w:pPr>
        <w:pStyle w:val="Heading2"/>
        <w:spacing w:lineRule="auto" w:line="240"/>
        <w:rPr>
          <w:rFonts w:ascii="Calibri" w:hAnsi="Calibri"/>
        </w:rPr>
      </w:pPr>
      <w:bookmarkStart w:id="38" w:name="_Toc244923582"/>
      <w:bookmarkEnd w:id="38"/>
      <w:r>
        <w:rPr>
          <w:rFonts w:ascii="Calibri" w:hAnsi="Calibri"/>
        </w:rPr>
        <w:t>9.1 Means of Escape</w:t>
      </w:r>
    </w:p>
    <w:p>
      <w:pPr>
        <w:pStyle w:val="Normal"/>
        <w:spacing w:lineRule="auto" w:line="240"/>
        <w:jc w:val="both"/>
        <w:rPr>
          <w:rFonts w:cs="Tahoma"/>
        </w:rPr>
      </w:pPr>
      <w:r>
        <w:rPr>
          <w:rFonts w:cs="Tahoma"/>
        </w:rPr>
        <w:t>Escape routes are provided throughout the School, the locations of the emergency exits are to allow total evacuation of all of the many premises in the shortest possible time.</w:t>
      </w:r>
    </w:p>
    <w:p>
      <w:pPr>
        <w:pStyle w:val="Normal"/>
        <w:spacing w:lineRule="auto" w:line="240"/>
        <w:jc w:val="both"/>
        <w:rPr>
          <w:rFonts w:cs="Tahoma"/>
        </w:rPr>
      </w:pPr>
      <w:r>
        <w:rPr>
          <w:rFonts w:cs="Tahoma"/>
        </w:rPr>
        <w:t>The following precautions are taken into account for all escape routes:</w:t>
      </w:r>
    </w:p>
    <w:p>
      <w:pPr>
        <w:pStyle w:val="Normal"/>
        <w:numPr>
          <w:ilvl w:val="1"/>
          <w:numId w:val="33"/>
        </w:numPr>
        <w:spacing w:lineRule="auto" w:line="240" w:before="0" w:after="0"/>
        <w:ind w:left="284" w:hanging="284"/>
        <w:jc w:val="both"/>
        <w:rPr>
          <w:rFonts w:cs="Tahoma"/>
        </w:rPr>
      </w:pPr>
      <w:r>
        <w:rPr>
          <w:rFonts w:cs="Tahoma"/>
        </w:rPr>
        <w:t>Corridors, stairs, steps and escape routes will not be obstructed and will be available for use at all times.</w:t>
      </w:r>
    </w:p>
    <w:p>
      <w:pPr>
        <w:pStyle w:val="Normal"/>
        <w:numPr>
          <w:ilvl w:val="1"/>
          <w:numId w:val="33"/>
        </w:numPr>
        <w:spacing w:lineRule="auto" w:line="240" w:before="0" w:after="0"/>
        <w:ind w:left="284" w:hanging="284"/>
        <w:jc w:val="both"/>
        <w:rPr>
          <w:rFonts w:cs="Tahoma"/>
        </w:rPr>
      </w:pPr>
      <w:r>
        <w:rPr>
          <w:rFonts w:cs="Tahoma"/>
        </w:rPr>
        <w:t>External areas at or near exits will not be obstructed and immediately available for use.</w:t>
      </w:r>
    </w:p>
    <w:p>
      <w:pPr>
        <w:pStyle w:val="Normal"/>
        <w:numPr>
          <w:ilvl w:val="1"/>
          <w:numId w:val="33"/>
        </w:numPr>
        <w:spacing w:lineRule="auto" w:line="240" w:before="0" w:after="0"/>
        <w:ind w:left="284" w:hanging="284"/>
        <w:jc w:val="both"/>
        <w:rPr>
          <w:rFonts w:cs="Tahoma"/>
        </w:rPr>
      </w:pPr>
      <w:r>
        <w:rPr>
          <w:rFonts w:cs="Tahoma"/>
        </w:rPr>
        <w:t>Escape routes will be clearly indicated and adequately illuminated.</w:t>
      </w:r>
    </w:p>
    <w:p>
      <w:pPr>
        <w:pStyle w:val="Normal"/>
        <w:numPr>
          <w:ilvl w:val="1"/>
          <w:numId w:val="33"/>
        </w:numPr>
        <w:spacing w:lineRule="auto" w:line="240" w:before="0" w:after="0"/>
        <w:ind w:left="284" w:hanging="284"/>
        <w:jc w:val="both"/>
        <w:rPr>
          <w:rFonts w:cs="Tahoma"/>
        </w:rPr>
      </w:pPr>
      <w:r>
        <w:rPr>
          <w:rFonts w:cs="Tahoma"/>
        </w:rPr>
        <w:t>Escape routes will not be used for storage of any type.</w:t>
      </w:r>
    </w:p>
    <w:p>
      <w:pPr>
        <w:pStyle w:val="Normal"/>
        <w:numPr>
          <w:ilvl w:val="1"/>
          <w:numId w:val="33"/>
        </w:numPr>
        <w:spacing w:lineRule="auto" w:line="240" w:before="0" w:after="0"/>
        <w:ind w:left="284" w:hanging="284"/>
        <w:jc w:val="both"/>
        <w:rPr>
          <w:rFonts w:cs="Tahoma"/>
        </w:rPr>
      </w:pPr>
      <w:r>
        <w:rPr>
          <w:rFonts w:cs="Tahoma"/>
        </w:rPr>
        <w:t>Upholstered furniture will not be provided in corridors or within stairway enclosures.</w:t>
      </w:r>
    </w:p>
    <w:p>
      <w:pPr>
        <w:pStyle w:val="Normal"/>
        <w:numPr>
          <w:ilvl w:val="1"/>
          <w:numId w:val="33"/>
        </w:numPr>
        <w:spacing w:lineRule="auto" w:line="240" w:before="0" w:after="0"/>
        <w:ind w:left="284" w:hanging="284"/>
        <w:jc w:val="both"/>
        <w:rPr>
          <w:rFonts w:cs="Tahoma"/>
        </w:rPr>
      </w:pPr>
      <w:r>
        <w:rPr>
          <w:rFonts w:cs="Tahoma"/>
        </w:rPr>
        <w:t>Doors on escape routes will be capable of being readily and easily opened at all times.</w:t>
      </w:r>
    </w:p>
    <w:p>
      <w:pPr>
        <w:pStyle w:val="Normal"/>
        <w:numPr>
          <w:ilvl w:val="1"/>
          <w:numId w:val="33"/>
        </w:numPr>
        <w:spacing w:lineRule="auto" w:line="240" w:before="0" w:after="0"/>
        <w:ind w:left="284" w:hanging="284"/>
        <w:jc w:val="both"/>
        <w:rPr>
          <w:rFonts w:cs="Tahoma"/>
        </w:rPr>
      </w:pPr>
      <w:r>
        <w:rPr>
          <w:rFonts w:cs="Tahoma"/>
        </w:rPr>
        <w:t>Floor coverings will not present a slip or trip hazard in any escape route.</w:t>
      </w:r>
    </w:p>
    <w:p>
      <w:pPr>
        <w:pStyle w:val="Heading2"/>
        <w:spacing w:lineRule="auto" w:line="240"/>
        <w:rPr>
          <w:rFonts w:ascii="Calibri" w:hAnsi="Calibri"/>
        </w:rPr>
      </w:pPr>
      <w:bookmarkStart w:id="39" w:name="_Toc244923583"/>
      <w:bookmarkEnd w:id="39"/>
      <w:r>
        <w:rPr>
          <w:rFonts w:ascii="Calibri" w:hAnsi="Calibri"/>
        </w:rPr>
        <w:t>9.2 Fire Detection and Alarm Systems</w:t>
      </w:r>
    </w:p>
    <w:p>
      <w:pPr>
        <w:pStyle w:val="Normal"/>
        <w:spacing w:lineRule="auto" w:line="240"/>
        <w:jc w:val="both"/>
        <w:rPr>
          <w:rFonts w:cs="Tahoma"/>
        </w:rPr>
      </w:pPr>
      <w:r>
        <w:rPr>
          <w:rFonts w:cs="Tahoma"/>
        </w:rPr>
        <w:t>The provision of an appropriate fire detection and alarm system throughout the School improves the chances of restricting the growth and spread of fire in an emergency situation and therefore is a vital component of the overall fire safety strategy to protect students, staff, visitors and property from fire.</w:t>
      </w:r>
    </w:p>
    <w:p>
      <w:pPr>
        <w:pStyle w:val="Normal"/>
        <w:spacing w:lineRule="auto" w:line="240"/>
        <w:jc w:val="both"/>
        <w:rPr>
          <w:rFonts w:cs="Tahoma"/>
        </w:rPr>
      </w:pPr>
      <w:r>
        <w:rPr>
          <w:rFonts w:cs="Tahoma"/>
        </w:rPr>
        <w:t>Each local fire control panel is continuously monitored to ensure that the panel indicates normal operation. Any fault warning of the alarm system will receive prompt attention. The detection system will identify the location of the fire and will activate the alarm sounders.</w:t>
      </w:r>
    </w:p>
    <w:p>
      <w:pPr>
        <w:pStyle w:val="Normal"/>
        <w:numPr>
          <w:ilvl w:val="0"/>
          <w:numId w:val="34"/>
        </w:numPr>
        <w:spacing w:lineRule="auto" w:line="240" w:before="0" w:after="0"/>
        <w:ind w:left="284" w:hanging="284"/>
        <w:jc w:val="both"/>
        <w:rPr>
          <w:rFonts w:cs="Tahoma"/>
        </w:rPr>
      </w:pPr>
      <w:r>
        <w:rPr>
          <w:rFonts w:cs="Tahoma"/>
        </w:rPr>
        <w:t>Upon activation of a break glass unit, all fire alarm sounders will be activated.</w:t>
      </w:r>
    </w:p>
    <w:p>
      <w:pPr>
        <w:pStyle w:val="Normal"/>
        <w:numPr>
          <w:ilvl w:val="0"/>
          <w:numId w:val="34"/>
        </w:numPr>
        <w:spacing w:lineRule="auto" w:line="240" w:before="0" w:after="0"/>
        <w:ind w:left="284" w:hanging="284"/>
        <w:jc w:val="both"/>
        <w:rPr>
          <w:rFonts w:cs="Tahoma"/>
        </w:rPr>
      </w:pPr>
      <w:r>
        <w:rPr>
          <w:rFonts w:cs="Tahoma"/>
        </w:rPr>
        <w:t>The fire alarm panel will display the precise location of the alarm. The location of the alarm will be investigated immediately and necessary action carried out.</w:t>
      </w:r>
    </w:p>
    <w:p>
      <w:pPr>
        <w:pStyle w:val="Normal"/>
        <w:numPr>
          <w:ilvl w:val="0"/>
          <w:numId w:val="34"/>
        </w:numPr>
        <w:spacing w:lineRule="auto" w:line="240" w:before="0" w:after="0"/>
        <w:ind w:left="284" w:hanging="284"/>
        <w:jc w:val="both"/>
        <w:rPr>
          <w:rFonts w:cs="Tahoma"/>
        </w:rPr>
      </w:pPr>
      <w:r>
        <w:rPr>
          <w:rFonts w:cs="Tahoma"/>
        </w:rPr>
        <w:t>When the location of the alarm is investigated and necessary action taken, the control panel will be silenced and reset.</w:t>
      </w:r>
    </w:p>
    <w:p>
      <w:pPr>
        <w:pStyle w:val="Normal"/>
        <w:numPr>
          <w:ilvl w:val="0"/>
          <w:numId w:val="34"/>
        </w:numPr>
        <w:spacing w:lineRule="auto" w:line="240" w:before="0" w:after="0"/>
        <w:ind w:left="284" w:hanging="284"/>
        <w:jc w:val="both"/>
        <w:rPr>
          <w:rFonts w:cs="Tahoma"/>
        </w:rPr>
      </w:pPr>
      <w:r>
        <w:rPr>
          <w:rFonts w:cs="Tahoma"/>
        </w:rPr>
        <w:t>Inspections are carried out by a competent person in compliance with IS 3218 2005.</w:t>
      </w:r>
    </w:p>
    <w:p>
      <w:pPr>
        <w:pStyle w:val="Normal"/>
        <w:numPr>
          <w:ilvl w:val="0"/>
          <w:numId w:val="34"/>
        </w:numPr>
        <w:spacing w:lineRule="auto" w:line="240" w:before="0" w:after="0"/>
        <w:ind w:left="284" w:hanging="284"/>
        <w:jc w:val="both"/>
        <w:rPr>
          <w:rFonts w:cs="Tahoma"/>
        </w:rPr>
      </w:pPr>
      <w:r>
        <w:rPr>
          <w:rFonts w:cs="Tahoma"/>
        </w:rPr>
        <w:t>Manual Break glass units are provided throughout the School at strategic locations.</w:t>
      </w:r>
    </w:p>
    <w:p>
      <w:pPr>
        <w:pStyle w:val="Normal"/>
        <w:numPr>
          <w:ilvl w:val="0"/>
          <w:numId w:val="34"/>
        </w:numPr>
        <w:spacing w:lineRule="auto" w:line="240" w:before="0" w:after="0"/>
        <w:ind w:left="284" w:hanging="284"/>
        <w:jc w:val="both"/>
        <w:rPr>
          <w:rFonts w:cs="Tahoma"/>
        </w:rPr>
      </w:pPr>
      <w:r>
        <w:rPr>
          <w:rFonts w:cs="Tahoma"/>
        </w:rPr>
        <w:t>Automatic heat and smoke detectors are located throughout the School at various locations, the purpose being to detect a fire at an early stage.</w:t>
      </w:r>
    </w:p>
    <w:p>
      <w:pPr>
        <w:pStyle w:val="Normal"/>
        <w:numPr>
          <w:ilvl w:val="0"/>
          <w:numId w:val="34"/>
        </w:numPr>
        <w:spacing w:lineRule="auto" w:line="240" w:before="0" w:after="0"/>
        <w:ind w:left="284" w:hanging="284"/>
        <w:jc w:val="both"/>
        <w:rPr>
          <w:rFonts w:cs="Tahoma"/>
        </w:rPr>
      </w:pPr>
      <w:r>
        <w:rPr>
          <w:rFonts w:cs="Tahoma"/>
        </w:rPr>
        <w:t>Audible Sounders are provided to alert staff in the event of a fire.</w:t>
      </w:r>
    </w:p>
    <w:p>
      <w:pPr>
        <w:pStyle w:val="Heading2"/>
        <w:spacing w:lineRule="auto" w:line="240"/>
        <w:rPr>
          <w:rFonts w:ascii="Calibri" w:hAnsi="Calibri"/>
        </w:rPr>
      </w:pPr>
      <w:bookmarkStart w:id="40" w:name="_Toc244923584"/>
      <w:bookmarkEnd w:id="40"/>
      <w:r>
        <w:rPr>
          <w:rFonts w:ascii="Calibri" w:hAnsi="Calibri"/>
        </w:rPr>
        <w:t>9.3 Fire Extinguishers</w:t>
      </w:r>
    </w:p>
    <w:p>
      <w:pPr>
        <w:pStyle w:val="Normal"/>
        <w:spacing w:lineRule="auto" w:line="240"/>
        <w:jc w:val="both"/>
        <w:rPr>
          <w:rFonts w:cs="Tahoma"/>
        </w:rPr>
      </w:pPr>
      <w:r>
        <w:rPr>
          <w:rFonts w:cs="Tahoma"/>
        </w:rPr>
        <w:t>Various types of fire extinguishers are provided within the School; the appropriate fire extinguisher is located according to the activities of the area.</w:t>
      </w:r>
    </w:p>
    <w:p>
      <w:pPr>
        <w:pStyle w:val="Normal"/>
        <w:spacing w:lineRule="auto" w:line="240"/>
        <w:jc w:val="both"/>
        <w:rPr>
          <w:rFonts w:cs="Tahoma"/>
        </w:rPr>
      </w:pPr>
      <w:r>
        <w:rPr>
          <w:rFonts w:cs="Tahoma"/>
        </w:rPr>
        <w:t>The purpose of portable fire fighting equipment is to:</w:t>
      </w:r>
    </w:p>
    <w:p>
      <w:pPr>
        <w:pStyle w:val="Normal"/>
        <w:numPr>
          <w:ilvl w:val="0"/>
          <w:numId w:val="35"/>
        </w:numPr>
        <w:spacing w:lineRule="auto" w:line="240" w:before="0" w:after="0"/>
        <w:jc w:val="both"/>
        <w:rPr>
          <w:rFonts w:cs="Tahoma"/>
        </w:rPr>
      </w:pPr>
      <w:r>
        <w:rPr>
          <w:rFonts w:cs="Tahoma"/>
        </w:rPr>
        <w:t>Extinguish manageable fires,</w:t>
      </w:r>
    </w:p>
    <w:p>
      <w:pPr>
        <w:pStyle w:val="Normal"/>
        <w:numPr>
          <w:ilvl w:val="0"/>
          <w:numId w:val="35"/>
        </w:numPr>
        <w:spacing w:lineRule="auto" w:line="240" w:before="0" w:after="0"/>
        <w:jc w:val="both"/>
        <w:rPr>
          <w:rFonts w:cs="Tahoma"/>
        </w:rPr>
      </w:pPr>
      <w:r>
        <w:rPr>
          <w:rFonts w:cs="Tahoma"/>
        </w:rPr>
        <w:t>Protect means of escape in case of a fire,</w:t>
      </w:r>
    </w:p>
    <w:p>
      <w:pPr>
        <w:pStyle w:val="Normal"/>
        <w:numPr>
          <w:ilvl w:val="0"/>
          <w:numId w:val="35"/>
        </w:numPr>
        <w:spacing w:lineRule="auto" w:line="240" w:before="0" w:after="0"/>
        <w:jc w:val="both"/>
        <w:rPr>
          <w:rFonts w:cs="Tahoma"/>
        </w:rPr>
      </w:pPr>
      <w:r>
        <w:rPr>
          <w:rFonts w:cs="Tahoma"/>
        </w:rPr>
        <w:t>To protect employees, visitors, staff and</w:t>
      </w:r>
    </w:p>
    <w:p>
      <w:pPr>
        <w:pStyle w:val="Normal"/>
        <w:numPr>
          <w:ilvl w:val="0"/>
          <w:numId w:val="35"/>
        </w:numPr>
        <w:spacing w:lineRule="auto" w:line="240" w:before="0" w:after="0"/>
        <w:jc w:val="both"/>
        <w:rPr>
          <w:rFonts w:cs="Tahoma"/>
        </w:rPr>
      </w:pPr>
      <w:r>
        <w:rPr>
          <w:rFonts w:cs="Tahoma"/>
        </w:rPr>
        <w:t>To protect property.</w:t>
      </w:r>
    </w:p>
    <w:p>
      <w:pPr>
        <w:pStyle w:val="Normal"/>
        <w:spacing w:lineRule="auto" w:line="240" w:before="0" w:after="0"/>
        <w:ind w:left="720" w:hanging="0"/>
        <w:jc w:val="both"/>
        <w:rPr>
          <w:rFonts w:cs="Tahoma"/>
        </w:rPr>
      </w:pPr>
      <w:r>
        <w:rPr>
          <w:rFonts w:cs="Tahoma"/>
        </w:rPr>
      </w:r>
    </w:p>
    <w:p>
      <w:pPr>
        <w:pStyle w:val="Normal"/>
        <w:spacing w:lineRule="auto" w:line="240" w:before="0" w:after="0"/>
        <w:jc w:val="both"/>
        <w:rPr>
          <w:rFonts w:cs="Tahoma"/>
        </w:rPr>
      </w:pPr>
      <w:r>
        <w:rPr>
          <w:rFonts w:cs="Tahoma"/>
        </w:rPr>
        <w:t>Any extinguishers, which are unfit for use, such as showing signs of corrosion or damage, will be removed from service and replaced by serviceable extinguishers. The date of the inspection and signature of the competent person carrying out the service are noted on an adhesive label and fixed to the extinguisher.</w:t>
      </w:r>
    </w:p>
    <w:p>
      <w:pPr>
        <w:pStyle w:val="Normal"/>
        <w:spacing w:lineRule="auto" w:line="240"/>
        <w:jc w:val="both"/>
        <w:rPr>
          <w:rFonts w:cs="Tahoma"/>
        </w:rPr>
      </w:pPr>
      <w:r>
        <w:rPr>
          <w:rFonts w:cs="Tahoma"/>
        </w:rPr>
      </w:r>
    </w:p>
    <w:p>
      <w:pPr>
        <w:pStyle w:val="Normal"/>
        <w:spacing w:lineRule="auto" w:line="240"/>
        <w:jc w:val="both"/>
        <w:rPr>
          <w:rFonts w:cs="Tahoma"/>
        </w:rPr>
      </w:pPr>
      <w:r>
        <w:rPr>
          <w:rFonts w:cs="Tahoma"/>
        </w:rPr>
        <w:t>Staff are required to familiarise themselves with the location and type of fire extinguisher in their area. Access to fire fighting apparatus must be kept clear at all times and immediately available for use.</w:t>
      </w:r>
    </w:p>
    <w:p>
      <w:pPr>
        <w:pStyle w:val="Heading2"/>
        <w:spacing w:lineRule="auto" w:line="240"/>
        <w:rPr>
          <w:rFonts w:ascii="Calibri" w:hAnsi="Calibri"/>
        </w:rPr>
      </w:pPr>
      <w:bookmarkStart w:id="41" w:name="_Toc244923585"/>
      <w:bookmarkEnd w:id="41"/>
      <w:r>
        <w:rPr>
          <w:rFonts w:ascii="Calibri" w:hAnsi="Calibri"/>
        </w:rPr>
        <w:t>9.4 Emergency Lighting</w:t>
      </w:r>
    </w:p>
    <w:p>
      <w:pPr>
        <w:pStyle w:val="Normal"/>
        <w:spacing w:lineRule="auto" w:line="240"/>
        <w:jc w:val="both"/>
        <w:rPr>
          <w:rFonts w:cs="Tahoma"/>
        </w:rPr>
      </w:pPr>
      <w:r>
        <w:rPr>
          <w:rFonts w:cs="Tahoma"/>
        </w:rPr>
        <w:t>Emergency lighting is provided and provides sufficient lighting for the following.</w:t>
      </w:r>
    </w:p>
    <w:p>
      <w:pPr>
        <w:pStyle w:val="Normal"/>
        <w:numPr>
          <w:ilvl w:val="1"/>
          <w:numId w:val="36"/>
        </w:numPr>
        <w:spacing w:lineRule="auto" w:line="240" w:before="0" w:after="0"/>
        <w:ind w:left="284" w:hanging="284"/>
        <w:jc w:val="both"/>
        <w:rPr>
          <w:rFonts w:cs="Tahoma"/>
        </w:rPr>
      </w:pPr>
      <w:r>
        <w:rPr>
          <w:rFonts w:cs="Tahoma"/>
        </w:rPr>
        <w:t>Indicate clearly the escape routes within the building.</w:t>
      </w:r>
    </w:p>
    <w:p>
      <w:pPr>
        <w:pStyle w:val="Normal"/>
        <w:numPr>
          <w:ilvl w:val="1"/>
          <w:numId w:val="36"/>
        </w:numPr>
        <w:spacing w:lineRule="auto" w:line="240" w:before="0" w:after="0"/>
        <w:ind w:left="284" w:hanging="284"/>
        <w:jc w:val="both"/>
        <w:rPr>
          <w:rFonts w:cs="Tahoma"/>
        </w:rPr>
      </w:pPr>
      <w:r>
        <w:rPr>
          <w:rFonts w:cs="Tahoma"/>
        </w:rPr>
        <w:t>Provide illumination along escape routes to allow safe movement through units and through exits.</w:t>
      </w:r>
    </w:p>
    <w:p>
      <w:pPr>
        <w:pStyle w:val="Normal"/>
        <w:numPr>
          <w:ilvl w:val="1"/>
          <w:numId w:val="36"/>
        </w:numPr>
        <w:spacing w:lineRule="auto" w:line="240" w:before="0" w:after="0"/>
        <w:ind w:left="284" w:hanging="284"/>
        <w:jc w:val="both"/>
        <w:rPr>
          <w:rFonts w:cs="Tahoma"/>
        </w:rPr>
      </w:pPr>
      <w:r>
        <w:rPr>
          <w:rFonts w:cs="Tahoma"/>
        </w:rPr>
        <w:t>Ensure that fire fighting equipment provided along escape routes can be readily located.</w:t>
      </w:r>
    </w:p>
    <w:p>
      <w:pPr>
        <w:pStyle w:val="Normal"/>
        <w:numPr>
          <w:ilvl w:val="1"/>
          <w:numId w:val="36"/>
        </w:numPr>
        <w:spacing w:lineRule="auto" w:line="240" w:before="0" w:after="0"/>
        <w:ind w:left="284" w:hanging="284"/>
        <w:jc w:val="both"/>
        <w:rPr>
          <w:rFonts w:cs="Tahoma"/>
        </w:rPr>
      </w:pPr>
      <w:r>
        <w:rPr>
          <w:rFonts w:cs="Tahoma"/>
        </w:rPr>
        <w:t>Assist fire and emergency services in rescue, evacuation and fire fighting operation.</w:t>
      </w:r>
    </w:p>
    <w:p>
      <w:pPr>
        <w:pStyle w:val="Normal"/>
        <w:numPr>
          <w:ilvl w:val="1"/>
          <w:numId w:val="36"/>
        </w:numPr>
        <w:spacing w:lineRule="auto" w:line="240" w:before="0" w:after="0"/>
        <w:ind w:left="284" w:hanging="284"/>
        <w:jc w:val="both"/>
        <w:rPr>
          <w:rFonts w:cs="Tahoma"/>
        </w:rPr>
      </w:pPr>
      <w:r>
        <w:rPr>
          <w:rFonts w:cs="Tahoma"/>
        </w:rPr>
        <w:t>The emergency lighting is powered by the main electricity supply. In an emergency situation it is powered by the standby battery. With total failure the battery unit operates within the lighting system itself.</w:t>
      </w:r>
    </w:p>
    <w:p>
      <w:pPr>
        <w:pStyle w:val="Normal"/>
        <w:numPr>
          <w:ilvl w:val="1"/>
          <w:numId w:val="36"/>
        </w:numPr>
        <w:spacing w:lineRule="auto" w:line="240" w:before="0" w:after="0"/>
        <w:ind w:left="284" w:hanging="284"/>
        <w:jc w:val="both"/>
        <w:rPr>
          <w:rFonts w:cs="Tahoma"/>
        </w:rPr>
      </w:pPr>
      <w:r>
        <w:rPr>
          <w:rFonts w:cs="Tahoma"/>
        </w:rPr>
        <w:t>Quarterly and annual inspection of test procedures as described in I.S. 3217: 2005 are carried out by a competent person.</w:t>
      </w:r>
    </w:p>
    <w:p>
      <w:pPr>
        <w:pStyle w:val="Normal"/>
        <w:numPr>
          <w:ilvl w:val="1"/>
          <w:numId w:val="36"/>
        </w:numPr>
        <w:spacing w:lineRule="auto" w:line="240" w:before="0" w:after="0"/>
        <w:ind w:left="284" w:hanging="284"/>
        <w:jc w:val="both"/>
        <w:rPr>
          <w:rFonts w:cs="Tahoma"/>
        </w:rPr>
      </w:pPr>
      <w:r>
        <w:rPr>
          <w:rFonts w:cs="Tahoma"/>
        </w:rPr>
        <w:t>Where emergency lights are not provided perhaps in some rented and leased properties), the staff based in these buildings will have access to battery operated flashlights.  The flashlights will be kept in locations close to exit points and in the staff office as a minimum.</w:t>
      </w:r>
    </w:p>
    <w:p>
      <w:pPr>
        <w:pStyle w:val="Heading2"/>
        <w:spacing w:lineRule="auto" w:line="240"/>
        <w:rPr>
          <w:rFonts w:ascii="Calibri" w:hAnsi="Calibri"/>
        </w:rPr>
      </w:pPr>
      <w:bookmarkStart w:id="42" w:name="_Toc244923586"/>
      <w:bookmarkEnd w:id="42"/>
      <w:r>
        <w:rPr>
          <w:rFonts w:ascii="Calibri" w:hAnsi="Calibri"/>
        </w:rPr>
        <w:t>9.5 Fire Doors</w:t>
      </w:r>
    </w:p>
    <w:p>
      <w:pPr>
        <w:pStyle w:val="Normal"/>
        <w:spacing w:lineRule="auto" w:line="240"/>
        <w:jc w:val="both"/>
        <w:rPr>
          <w:rFonts w:cs="Tahoma"/>
        </w:rPr>
      </w:pPr>
      <w:r>
        <w:rPr>
          <w:rFonts w:cs="Tahoma"/>
        </w:rPr>
        <w:t>A fire door is provided for the passage of persons or objects and is intended when closed, to resist the passage of fire and gaseous products of combustion.</w:t>
      </w:r>
    </w:p>
    <w:p>
      <w:pPr>
        <w:pStyle w:val="Normal"/>
        <w:spacing w:lineRule="auto" w:line="240"/>
        <w:jc w:val="both"/>
        <w:rPr>
          <w:rFonts w:cs="Tahoma"/>
        </w:rPr>
      </w:pPr>
      <w:r>
        <w:rPr>
          <w:rFonts w:cs="Tahoma"/>
        </w:rPr>
        <w:t>Fire doors should not be held open by wedging or propping by any article. Fire doors are one of the most important links in the chain of fire safety precautions.</w:t>
      </w:r>
    </w:p>
    <w:p>
      <w:pPr>
        <w:pStyle w:val="Heading2"/>
        <w:spacing w:lineRule="auto" w:line="240"/>
        <w:rPr>
          <w:rFonts w:ascii="Calibri" w:hAnsi="Calibri"/>
        </w:rPr>
      </w:pPr>
      <w:bookmarkStart w:id="43" w:name="_Toc244923587"/>
      <w:bookmarkEnd w:id="43"/>
      <w:r>
        <w:rPr>
          <w:rFonts w:ascii="Calibri" w:hAnsi="Calibri"/>
        </w:rPr>
        <w:t>9.6 Fire Safety Signs and Notices</w:t>
      </w:r>
    </w:p>
    <w:p>
      <w:pPr>
        <w:pStyle w:val="Normal"/>
        <w:spacing w:lineRule="auto" w:line="240"/>
        <w:jc w:val="both"/>
        <w:rPr>
          <w:rFonts w:cs="Tahoma"/>
        </w:rPr>
      </w:pPr>
      <w:r>
        <w:rPr>
          <w:rFonts w:cs="Tahoma"/>
        </w:rPr>
        <w:t>Exit signs are provided which indicate the direction of escape and location of exit doors. Signs are provided to indicate the position of fire fighting equipment.</w:t>
      </w:r>
    </w:p>
    <w:p>
      <w:pPr>
        <w:pStyle w:val="Normal"/>
        <w:spacing w:lineRule="auto" w:line="240"/>
        <w:jc w:val="both"/>
        <w:rPr>
          <w:rFonts w:cs="Tahoma"/>
        </w:rPr>
      </w:pPr>
      <w:r>
        <w:rPr>
          <w:rFonts w:cs="Tahoma"/>
        </w:rPr>
        <w:t>Notices are provided at appropriate locations to indicate the procedures to be followed by staff in an emergency such as on discovery of a fire and on hearing the alarm.</w:t>
      </w:r>
    </w:p>
    <w:p>
      <w:pPr>
        <w:pStyle w:val="Heading1"/>
        <w:spacing w:lineRule="auto" w:line="240"/>
        <w:rPr>
          <w:rFonts w:ascii="Calibri" w:hAnsi="Calibri"/>
        </w:rPr>
      </w:pPr>
      <w:bookmarkStart w:id="44" w:name="_Toc244923588"/>
      <w:bookmarkEnd w:id="44"/>
      <w:r>
        <w:rPr>
          <w:rFonts w:ascii="Calibri" w:hAnsi="Calibri"/>
        </w:rPr>
        <w:t>10. Fire Prevention within the School</w:t>
      </w:r>
    </w:p>
    <w:p>
      <w:pPr>
        <w:pStyle w:val="Heading2"/>
        <w:spacing w:lineRule="auto" w:line="240"/>
        <w:rPr>
          <w:rFonts w:ascii="Calibri" w:hAnsi="Calibri"/>
        </w:rPr>
      </w:pPr>
      <w:bookmarkStart w:id="45" w:name="_Toc244923589"/>
      <w:bookmarkEnd w:id="45"/>
      <w:r>
        <w:rPr>
          <w:rFonts w:ascii="Calibri" w:hAnsi="Calibri"/>
        </w:rPr>
        <w:t>10.1 Housekeeping</w:t>
      </w:r>
    </w:p>
    <w:p>
      <w:pPr>
        <w:pStyle w:val="Normal"/>
        <w:spacing w:lineRule="auto" w:line="240"/>
        <w:jc w:val="both"/>
        <w:rPr>
          <w:rFonts w:cs="Tahoma"/>
        </w:rPr>
      </w:pPr>
      <w:r>
        <w:rPr>
          <w:rFonts w:cs="Tahoma"/>
        </w:rPr>
        <w:t>Good Housekeeping is critical at all levels to prevent fires from occurring and to carry out evacuation procedures in an emergency.</w:t>
      </w:r>
    </w:p>
    <w:p>
      <w:pPr>
        <w:pStyle w:val="Normal"/>
        <w:spacing w:lineRule="auto" w:line="240"/>
        <w:jc w:val="both"/>
        <w:rPr>
          <w:rFonts w:cs="Tahoma"/>
        </w:rPr>
      </w:pPr>
      <w:r>
        <w:rPr>
          <w:rFonts w:cs="Tahoma"/>
        </w:rPr>
        <w:t>Rubbish and waste materials are not allowed to accumulate. These materials are removed regularly from the School to the designated waste area outside the building.</w:t>
      </w:r>
    </w:p>
    <w:p>
      <w:pPr>
        <w:pStyle w:val="Normal"/>
        <w:spacing w:lineRule="auto" w:line="240"/>
        <w:jc w:val="both"/>
        <w:rPr>
          <w:rFonts w:cs="Tahoma"/>
        </w:rPr>
      </w:pPr>
      <w:r>
        <w:rPr>
          <w:rFonts w:cs="Tahoma"/>
        </w:rPr>
        <w:t>Pending removal, waste is stored in non-combustible containers, at designated locations, away from sources of ignition. Waste containers should never be stored in or near escape routes. Staff should be aware of the importance of not accumulating rubbish or waste on any part of the premises.</w:t>
      </w:r>
    </w:p>
    <w:p>
      <w:pPr>
        <w:pStyle w:val="Normal"/>
        <w:spacing w:lineRule="auto" w:line="240"/>
        <w:jc w:val="both"/>
        <w:rPr>
          <w:rFonts w:cs="Tahoma"/>
        </w:rPr>
      </w:pPr>
      <w:r>
        <w:rPr>
          <w:rFonts w:cs="Tahoma"/>
        </w:rPr>
        <w:t>The use of highly flammable materials will be avoided where possible.</w:t>
      </w:r>
    </w:p>
    <w:p>
      <w:pPr>
        <w:pStyle w:val="Normal"/>
        <w:spacing w:lineRule="auto" w:line="240"/>
        <w:jc w:val="both"/>
        <w:rPr>
          <w:rFonts w:cs="Tahoma"/>
        </w:rPr>
      </w:pPr>
      <w:r>
        <w:rPr>
          <w:rFonts w:cs="Tahoma"/>
        </w:rPr>
        <w:t>The drying of items over heaters is forbidden as this can contribute to possible ignition.</w:t>
      </w:r>
    </w:p>
    <w:p>
      <w:pPr>
        <w:pStyle w:val="Normal"/>
        <w:spacing w:lineRule="auto" w:line="240"/>
        <w:jc w:val="both"/>
        <w:rPr>
          <w:rFonts w:cs="Tahoma"/>
        </w:rPr>
      </w:pPr>
      <w:r>
        <w:rPr>
          <w:rFonts w:cs="Tahoma"/>
        </w:rPr>
        <w:t>Regular cleaning of workplaces, machinery and equipment is carried out to prevent the build up of dust and dirt.</w:t>
      </w:r>
    </w:p>
    <w:p>
      <w:pPr>
        <w:pStyle w:val="Heading2"/>
        <w:spacing w:lineRule="auto" w:line="240"/>
        <w:rPr>
          <w:rFonts w:ascii="Calibri" w:hAnsi="Calibri"/>
        </w:rPr>
      </w:pPr>
      <w:bookmarkStart w:id="46" w:name="_Toc244923590"/>
      <w:bookmarkEnd w:id="46"/>
      <w:r>
        <w:rPr>
          <w:rFonts w:ascii="Calibri" w:hAnsi="Calibri"/>
        </w:rPr>
        <w:t>10.2 Smoking</w:t>
      </w:r>
    </w:p>
    <w:p>
      <w:pPr>
        <w:pStyle w:val="Normal"/>
        <w:spacing w:lineRule="auto" w:line="240"/>
        <w:jc w:val="both"/>
        <w:rPr>
          <w:rFonts w:cs="Tahoma"/>
        </w:rPr>
      </w:pPr>
      <w:r>
        <w:rPr>
          <w:rFonts w:cs="Tahoma"/>
        </w:rPr>
        <w:t>Statistics show that carelessness in the use and disposal of matches and smoking materials is a major cause of fires. 4The Services smoking policy must be adhered to by all staff members and enforced by Department Heads.</w:t>
      </w:r>
    </w:p>
    <w:p>
      <w:pPr>
        <w:pStyle w:val="Normal"/>
        <w:spacing w:lineRule="auto" w:line="240"/>
        <w:jc w:val="both"/>
        <w:rPr>
          <w:rFonts w:cs="Tahoma"/>
        </w:rPr>
      </w:pPr>
      <w:r>
        <w:rPr>
          <w:rFonts w:cs="Tahoma"/>
        </w:rPr>
        <w:t>Any Smoking areas must be inspected after been vacated at the end of each night to ensure that smokers’ materials are discarded properly.</w:t>
      </w:r>
    </w:p>
    <w:p>
      <w:pPr>
        <w:pStyle w:val="Heading2"/>
        <w:spacing w:lineRule="auto" w:line="240"/>
        <w:rPr>
          <w:rFonts w:ascii="Calibri" w:hAnsi="Calibri"/>
        </w:rPr>
      </w:pPr>
      <w:bookmarkStart w:id="47" w:name="_Toc244923591"/>
      <w:bookmarkEnd w:id="47"/>
      <w:r>
        <w:rPr>
          <w:rFonts w:ascii="Calibri" w:hAnsi="Calibri"/>
        </w:rPr>
        <w:t>10.3 Arson</w:t>
      </w:r>
    </w:p>
    <w:p>
      <w:pPr>
        <w:pStyle w:val="Normal"/>
        <w:spacing w:lineRule="auto" w:line="240"/>
        <w:jc w:val="both"/>
        <w:rPr>
          <w:rFonts w:cs="Tahoma"/>
        </w:rPr>
      </w:pPr>
      <w:r>
        <w:rPr>
          <w:rFonts w:cs="Tahoma"/>
        </w:rPr>
        <w:t xml:space="preserve">The proportion of fires arising from arson is increasing, therefore it is important that safeguards are adopted and implemented. Alertness of all staff members is crucial and reporting of persons acting suspiciously is an important factor in preventing a fire occurring. </w:t>
      </w:r>
    </w:p>
    <w:p>
      <w:pPr>
        <w:pStyle w:val="Normal"/>
        <w:spacing w:lineRule="auto" w:line="240"/>
        <w:jc w:val="both"/>
        <w:rPr>
          <w:rFonts w:cs="Tahoma"/>
        </w:rPr>
      </w:pPr>
      <w:r>
        <w:rPr>
          <w:rFonts w:cs="Tahoma"/>
        </w:rPr>
        <w:t>Care must be taken in securing premises at the end of each working day, closing all windows and doors in each department. Security personnel are on duty within selected locations during the night shift.</w:t>
      </w:r>
    </w:p>
    <w:p>
      <w:pPr>
        <w:pStyle w:val="Normal"/>
        <w:spacing w:lineRule="auto" w:line="240"/>
        <w:jc w:val="both"/>
        <w:rPr>
          <w:rFonts w:cs="Tahoma"/>
        </w:rPr>
      </w:pPr>
      <w:r>
        <w:rPr>
          <w:rFonts w:cs="Tahoma"/>
        </w:rPr>
        <w:t>Stores containing flammable materials outside the main School must be adequately locked, and combustible materials are secured out of reach.</w:t>
      </w:r>
    </w:p>
    <w:p>
      <w:pPr>
        <w:pStyle w:val="Normal"/>
        <w:spacing w:lineRule="auto" w:line="240"/>
        <w:jc w:val="both"/>
        <w:rPr>
          <w:rFonts w:cs="Tahoma"/>
        </w:rPr>
      </w:pPr>
      <w:r>
        <w:rPr>
          <w:rFonts w:cs="Tahoma"/>
        </w:rPr>
        <w:t>Care will be taken to ensure that materials are not stored or stacked adjacent to fences or walls where it could be set alight from outside.</w:t>
      </w:r>
    </w:p>
    <w:p>
      <w:pPr>
        <w:pStyle w:val="Normal"/>
        <w:spacing w:lineRule="auto" w:line="240"/>
        <w:jc w:val="both"/>
        <w:rPr>
          <w:rFonts w:cs="Tahoma"/>
        </w:rPr>
      </w:pPr>
      <w:r>
        <w:rPr>
          <w:rFonts w:cs="Tahoma"/>
        </w:rPr>
        <w:t>Care will also be taken to ensure that members of the public are not permitted to enter areas other than those to which they are intended to have access, except when a fire or other emergency requires them to do so to escape from the building.</w:t>
      </w:r>
    </w:p>
    <w:p>
      <w:pPr>
        <w:pStyle w:val="Heading2"/>
        <w:spacing w:lineRule="auto" w:line="240"/>
        <w:rPr>
          <w:rFonts w:ascii="Calibri" w:hAnsi="Calibri"/>
        </w:rPr>
      </w:pPr>
      <w:bookmarkStart w:id="48" w:name="_Toc244923592"/>
      <w:bookmarkEnd w:id="48"/>
      <w:r>
        <w:rPr>
          <w:rFonts w:ascii="Calibri" w:hAnsi="Calibri"/>
        </w:rPr>
        <w:t>10.4 Electricity</w:t>
      </w:r>
    </w:p>
    <w:p>
      <w:pPr>
        <w:pStyle w:val="Normal"/>
        <w:spacing w:lineRule="auto" w:line="240"/>
        <w:jc w:val="both"/>
        <w:rPr>
          <w:rFonts w:cs="Tahoma"/>
        </w:rPr>
      </w:pPr>
      <w:r>
        <w:rPr>
          <w:rFonts w:cs="Tahoma"/>
        </w:rPr>
        <w:t>Suspect or faulty equipment including any signs of damage to equipment wires, cables, plugs or sockets are to be reported immediately by staff to the Department Head or to the supervisor.</w:t>
      </w:r>
    </w:p>
    <w:p>
      <w:pPr>
        <w:pStyle w:val="Normal"/>
        <w:spacing w:lineRule="auto" w:line="240"/>
        <w:jc w:val="both"/>
        <w:rPr>
          <w:rFonts w:cs="Tahoma"/>
        </w:rPr>
      </w:pPr>
      <w:r>
        <w:rPr>
          <w:rFonts w:cs="Tahoma"/>
        </w:rPr>
        <w:t>All defective items are to be removed from service until repairs are carried out and reported to the Department Head. The overloading of sockets is to be prevented where possible within the School.</w:t>
      </w:r>
    </w:p>
    <w:p>
      <w:pPr>
        <w:pStyle w:val="Heading2"/>
        <w:spacing w:lineRule="auto" w:line="240"/>
        <w:rPr>
          <w:rFonts w:ascii="Calibri" w:hAnsi="Calibri"/>
        </w:rPr>
      </w:pPr>
      <w:bookmarkStart w:id="49" w:name="_Toc244923593"/>
      <w:bookmarkEnd w:id="49"/>
      <w:r>
        <w:rPr>
          <w:rFonts w:ascii="Calibri" w:hAnsi="Calibri"/>
        </w:rPr>
        <w:t>10.5 Kitchens</w:t>
      </w:r>
    </w:p>
    <w:p>
      <w:pPr>
        <w:pStyle w:val="Normal"/>
        <w:spacing w:lineRule="auto" w:line="240"/>
        <w:jc w:val="both"/>
        <w:rPr>
          <w:rFonts w:cs="Tahoma"/>
        </w:rPr>
      </w:pPr>
      <w:r>
        <w:rPr>
          <w:rFonts w:cs="Tahoma"/>
        </w:rPr>
        <w:t>Cookers, extractor fans, fume extraction hoods, filters, ducts and all equipment must be regularly cleaned of oil, grease and dust. Gas, oil and electrical cut – off switches are to be provided in clearly marked and accessible areas at a safe distance from the equipment which they serve.</w:t>
      </w:r>
    </w:p>
    <w:p>
      <w:pPr>
        <w:pStyle w:val="Normal"/>
        <w:spacing w:lineRule="auto" w:line="240"/>
        <w:jc w:val="both"/>
        <w:rPr>
          <w:rFonts w:cs="Tahoma"/>
        </w:rPr>
      </w:pPr>
      <w:r>
        <w:rPr>
          <w:rFonts w:cs="Tahoma"/>
        </w:rPr>
        <w:t>Catering staff must be vigilant when cookers are on, they must not leave cookers unattended for periods of time. All catering staff will receive proper instructions in the correct method of operation of cooking equipment. Care must be taken when using pans or fryers with large quantities of oils and fats.</w:t>
      </w:r>
    </w:p>
    <w:p>
      <w:pPr>
        <w:pStyle w:val="Normal"/>
        <w:spacing w:lineRule="auto" w:line="240"/>
        <w:jc w:val="both"/>
        <w:rPr>
          <w:rFonts w:cs="Tahoma"/>
        </w:rPr>
      </w:pPr>
      <w:r>
        <w:rPr>
          <w:rFonts w:cs="Tahoma"/>
        </w:rPr>
        <w:t>All catering staff must be familiar with the location and correct use of fire fighting equipment such as fire blankets and fire extinguishers.</w:t>
      </w:r>
    </w:p>
    <w:p>
      <w:pPr>
        <w:pStyle w:val="Normal"/>
        <w:spacing w:lineRule="auto" w:line="240"/>
        <w:jc w:val="both"/>
        <w:rPr>
          <w:rFonts w:cs="Tahoma"/>
        </w:rPr>
      </w:pPr>
      <w:r>
        <w:rPr>
          <w:rFonts w:cs="Tahoma"/>
        </w:rPr>
        <w:t>Any defective equipment, such as electrical, frayed wires or pipes must be reported to the Maintenance Department. All catering staff must consult the relevant safe practice work sheets for further information. Where applicable, all HACCP records must be maintained.</w:t>
      </w:r>
    </w:p>
    <w:p>
      <w:pPr>
        <w:pStyle w:val="Heading1"/>
        <w:rPr/>
      </w:pPr>
      <w:bookmarkStart w:id="50" w:name="_Toc244923594"/>
      <w:bookmarkEnd w:id="50"/>
      <w:r>
        <w:rPr/>
        <w:t>11. Fire Action /Emergency Management within the School</w:t>
      </w:r>
    </w:p>
    <w:p>
      <w:pPr>
        <w:pStyle w:val="Normal"/>
        <w:spacing w:lineRule="auto" w:line="240"/>
        <w:rPr>
          <w:rFonts w:cs="Tahoma"/>
          <w:iCs/>
        </w:rPr>
      </w:pPr>
      <w:r>
        <w:rPr>
          <w:rFonts w:cs="Tahoma"/>
          <w:iCs/>
        </w:rPr>
        <w:t xml:space="preserve">It is the intention of </w:t>
      </w:r>
      <w:r>
        <w:rPr>
          <w:color w:val="000000"/>
          <w:sz w:val="24"/>
          <w:szCs w:val="24"/>
        </w:rPr>
        <w:t xml:space="preserve">Togher Boys’ </w:t>
      </w:r>
      <w:r>
        <w:rPr>
          <w:rFonts w:cs="Tahoma"/>
          <w:iCs/>
        </w:rPr>
        <w:t>NATIONAL SCHOOL,  to comply with the provisions of the Fire Services Act, 1981, the Safety, Health &amp; Welfare at Work Act, 2005.  It is our intention to:</w:t>
      </w:r>
    </w:p>
    <w:p>
      <w:pPr>
        <w:pStyle w:val="Normal"/>
        <w:numPr>
          <w:ilvl w:val="0"/>
          <w:numId w:val="37"/>
        </w:numPr>
        <w:spacing w:lineRule="auto" w:line="240" w:before="0" w:after="0"/>
        <w:rPr>
          <w:rFonts w:cs="Tahoma"/>
          <w:iCs/>
        </w:rPr>
      </w:pPr>
      <w:r>
        <w:rPr>
          <w:rFonts w:cs="Tahoma"/>
          <w:iCs/>
        </w:rPr>
        <w:t>identify fire hazards and to assess the risks from there;</w:t>
      </w:r>
    </w:p>
    <w:p>
      <w:pPr>
        <w:pStyle w:val="Normal"/>
        <w:numPr>
          <w:ilvl w:val="0"/>
          <w:numId w:val="37"/>
        </w:numPr>
        <w:spacing w:lineRule="auto" w:line="240" w:before="0" w:after="0"/>
        <w:rPr>
          <w:rFonts w:cs="Tahoma"/>
          <w:iCs/>
        </w:rPr>
      </w:pPr>
      <w:r>
        <w:rPr>
          <w:rFonts w:cs="Tahoma"/>
          <w:iCs/>
        </w:rPr>
        <w:t>identify and implement appropriate measures to reduce fire risks;</w:t>
      </w:r>
    </w:p>
    <w:p>
      <w:pPr>
        <w:pStyle w:val="Normal"/>
        <w:numPr>
          <w:ilvl w:val="0"/>
          <w:numId w:val="37"/>
        </w:numPr>
        <w:spacing w:lineRule="auto" w:line="240" w:before="0" w:after="0"/>
        <w:rPr>
          <w:rFonts w:cs="Tahoma"/>
          <w:iCs/>
          <w:sz w:val="16"/>
        </w:rPr>
      </w:pPr>
      <w:r>
        <w:rPr>
          <w:rFonts w:cs="Tahoma"/>
          <w:iCs/>
        </w:rPr>
        <w:t>ensure the safety of persons, so far as is reasonably practicable on School and</w:t>
      </w:r>
      <w:r>
        <w:rPr>
          <w:rFonts w:cs="Tahoma"/>
          <w:iCs/>
          <w:sz w:val="16"/>
        </w:rPr>
        <w:t xml:space="preserve"> </w:t>
      </w:r>
      <w:r>
        <w:rPr>
          <w:rFonts w:cs="Tahoma"/>
          <w:iCs/>
        </w:rPr>
        <w:t>premises/buildings in the event of fire.</w:t>
      </w:r>
    </w:p>
    <w:p>
      <w:pPr>
        <w:pStyle w:val="Normal"/>
        <w:spacing w:lineRule="auto" w:line="240" w:before="0" w:after="0"/>
        <w:rPr>
          <w:rFonts w:cs="Tahoma"/>
          <w:iCs/>
          <w:sz w:val="16"/>
        </w:rPr>
      </w:pPr>
      <w:r>
        <w:rPr>
          <w:rFonts w:cs="Tahoma"/>
          <w:iCs/>
          <w:sz w:val="16"/>
        </w:rPr>
      </w:r>
    </w:p>
    <w:p>
      <w:pPr>
        <w:pStyle w:val="Indexheading"/>
        <w:jc w:val="both"/>
        <w:rPr>
          <w:rFonts w:ascii="Calibri" w:hAnsi="Calibri" w:cs="Tahoma"/>
          <w:iCs/>
          <w:sz w:val="22"/>
        </w:rPr>
      </w:pPr>
      <w:r>
        <w:rPr>
          <w:rFonts w:cs="Tahoma" w:ascii="Calibri" w:hAnsi="Calibri"/>
          <w:iCs/>
          <w:sz w:val="22"/>
        </w:rPr>
        <w:t xml:space="preserve">Specifically, the Safety, Health &amp; Welfare at Work (General Application Regulations), require that employers provide the necessary measures for fire fighting and the evacuation of employees, to be taken in emergencies, taking account of the nature of the activities, and the size of the place of work and taking into account other persons present.  </w:t>
      </w:r>
    </w:p>
    <w:p>
      <w:pPr>
        <w:pStyle w:val="Normal"/>
        <w:spacing w:lineRule="auto" w:line="240"/>
        <w:jc w:val="both"/>
        <w:rPr/>
      </w:pPr>
      <w:r>
        <w:rPr/>
      </w:r>
    </w:p>
    <w:p>
      <w:pPr>
        <w:pStyle w:val="Normal"/>
        <w:spacing w:lineRule="auto" w:line="240"/>
        <w:jc w:val="both"/>
        <w:rPr>
          <w:rFonts w:cs="Tahoma"/>
        </w:rPr>
      </w:pPr>
      <w:r>
        <w:rPr>
          <w:rFonts w:cs="Tahoma"/>
        </w:rPr>
        <w:t>All teachers will act as Fire Marshals. Their role will include an active participation in a fire emergency situation and involve creating awareness and promoting good fire safety standards in their area. This will be achieved by monitoring the area for fire preventive practices and ensuring access to fire fighting equipment. Fire Marshals must become familiar with their duties documented on hearing the alarm and on discovery of a fire</w:t>
      </w:r>
    </w:p>
    <w:p>
      <w:pPr>
        <w:pStyle w:val="Normal"/>
        <w:pBdr>
          <w:bottom w:val="single" w:sz="4" w:space="1" w:color="00000A"/>
        </w:pBdr>
        <w:spacing w:lineRule="auto" w:line="240"/>
        <w:jc w:val="both"/>
        <w:rPr>
          <w:rFonts w:cs="Tahoma"/>
        </w:rPr>
      </w:pPr>
      <w:r>
        <w:rPr>
          <w:rFonts w:cs="Tahoma"/>
        </w:rPr>
      </w:r>
    </w:p>
    <w:p>
      <w:pPr>
        <w:pStyle w:val="Normal"/>
        <w:spacing w:lineRule="auto" w:line="240"/>
        <w:jc w:val="both"/>
        <w:rPr>
          <w:rFonts w:cs="Tahoma"/>
          <w:b/>
          <w:b/>
        </w:rPr>
      </w:pPr>
      <w:r>
        <w:rPr>
          <w:rFonts w:cs="Tahoma"/>
          <w:b/>
        </w:rPr>
        <w:t>Fire Action</w:t>
      </w:r>
    </w:p>
    <w:p>
      <w:pPr>
        <w:pStyle w:val="Normal"/>
        <w:spacing w:lineRule="auto" w:line="240"/>
        <w:jc w:val="both"/>
        <w:rPr>
          <w:rFonts w:cs="Tahoma"/>
        </w:rPr>
      </w:pPr>
      <w:r>
        <w:rPr>
          <w:rFonts w:cs="Tahoma"/>
        </w:rPr>
        <w:t>On discovery of a fire all  staff are responsible for the following</w:t>
      </w:r>
    </w:p>
    <w:p>
      <w:pPr>
        <w:pStyle w:val="Normal"/>
        <w:spacing w:lineRule="auto" w:line="240"/>
        <w:jc w:val="both"/>
        <w:rPr>
          <w:rFonts w:cs="Tahoma"/>
          <w:b/>
          <w:b/>
          <w:color w:val="FF0000"/>
        </w:rPr>
      </w:pPr>
      <w:r>
        <w:rPr>
          <w:rFonts w:cs="Tahoma"/>
          <w:b/>
          <w:color w:val="FF0000"/>
        </w:rPr>
        <w:t>On Discovery Of A Fire</w:t>
      </w:r>
    </w:p>
    <w:p>
      <w:pPr>
        <w:pStyle w:val="Normal"/>
        <w:numPr>
          <w:ilvl w:val="2"/>
          <w:numId w:val="29"/>
        </w:numPr>
        <w:spacing w:lineRule="auto" w:line="240" w:before="0" w:after="0"/>
        <w:ind w:left="284" w:hanging="284"/>
        <w:jc w:val="both"/>
        <w:rPr>
          <w:rFonts w:cs="Tahoma"/>
        </w:rPr>
      </w:pPr>
      <w:r>
        <w:rPr>
          <w:rFonts w:cs="Tahoma"/>
        </w:rPr>
        <w:t>Raise the alarm immediately by operating the nearest break glass alarm unit by breaking the glass and pressing the button on the alarm control nearest to you. If none available please shout in a clear loud voice, “FIRE! FIRE! FIRE!”</w:t>
      </w:r>
    </w:p>
    <w:p>
      <w:pPr>
        <w:pStyle w:val="Normal"/>
        <w:numPr>
          <w:ilvl w:val="2"/>
          <w:numId w:val="29"/>
        </w:numPr>
        <w:spacing w:lineRule="auto" w:line="240" w:before="0" w:after="0"/>
        <w:ind w:left="284" w:hanging="284"/>
        <w:jc w:val="both"/>
        <w:rPr>
          <w:rFonts w:cs="Tahoma"/>
        </w:rPr>
      </w:pPr>
      <w:r>
        <w:rPr>
          <w:rFonts w:cs="Tahoma"/>
        </w:rPr>
        <w:t>Dial 999 and ask for the Fire Brigade</w:t>
      </w:r>
    </w:p>
    <w:p>
      <w:pPr>
        <w:pStyle w:val="Normal"/>
        <w:numPr>
          <w:ilvl w:val="2"/>
          <w:numId w:val="29"/>
        </w:numPr>
        <w:spacing w:lineRule="auto" w:line="240" w:before="0" w:after="0"/>
        <w:ind w:left="284" w:hanging="284"/>
        <w:jc w:val="both"/>
        <w:rPr>
          <w:rFonts w:cs="Tahoma"/>
        </w:rPr>
      </w:pPr>
      <w:r>
        <w:rPr>
          <w:rFonts w:cs="Tahoma"/>
        </w:rPr>
        <w:t>If there is a risk to students/staff, evacuate the immediate area to a safe location. The staff will move the students if at risk to an adjoining area on the same level closing all doors after them. (</w:t>
      </w:r>
      <w:r>
        <w:rPr>
          <w:rFonts w:cs="Tahoma"/>
          <w:b/>
        </w:rPr>
        <w:t>Horizontal Evacuation</w:t>
      </w:r>
      <w:r>
        <w:rPr>
          <w:rFonts w:cs="Tahoma"/>
        </w:rPr>
        <w:t>). Always evacuate people nearest the fire first.</w:t>
      </w:r>
    </w:p>
    <w:p>
      <w:pPr>
        <w:pStyle w:val="Normal"/>
        <w:numPr>
          <w:ilvl w:val="2"/>
          <w:numId w:val="29"/>
        </w:numPr>
        <w:spacing w:lineRule="auto" w:line="240" w:before="0" w:after="0"/>
        <w:ind w:left="284" w:hanging="284"/>
        <w:jc w:val="both"/>
        <w:rPr>
          <w:rFonts w:cs="Tahoma"/>
        </w:rPr>
      </w:pPr>
      <w:r>
        <w:rPr>
          <w:rFonts w:cs="Tahoma"/>
        </w:rPr>
        <w:t>If safe to do so, call for assistance and attack the fire with the fire fighting equipment provided. Do not put yourself in danger. Ensure that you have a clear exit.</w:t>
      </w:r>
    </w:p>
    <w:p>
      <w:pPr>
        <w:pStyle w:val="Normal"/>
        <w:numPr>
          <w:ilvl w:val="2"/>
          <w:numId w:val="29"/>
        </w:numPr>
        <w:spacing w:lineRule="auto" w:line="240" w:before="0" w:after="0"/>
        <w:ind w:left="284" w:hanging="284"/>
        <w:jc w:val="both"/>
        <w:rPr>
          <w:rFonts w:cs="Tahoma"/>
        </w:rPr>
      </w:pPr>
      <w:r>
        <w:rPr>
          <w:rFonts w:cs="Tahoma"/>
        </w:rPr>
        <w:t>If the fire continues to grow, leave it. Close windows and doors in the immediate vicinity where possible to prevent the fire from spreading.</w:t>
      </w:r>
    </w:p>
    <w:p>
      <w:pPr>
        <w:pStyle w:val="Normal"/>
        <w:numPr>
          <w:ilvl w:val="2"/>
          <w:numId w:val="29"/>
        </w:numPr>
        <w:spacing w:lineRule="auto" w:line="240" w:before="0" w:after="0"/>
        <w:ind w:left="284" w:hanging="284"/>
        <w:jc w:val="both"/>
        <w:rPr>
          <w:rFonts w:cs="Tahoma"/>
        </w:rPr>
      </w:pPr>
      <w:r>
        <w:rPr>
          <w:rFonts w:cs="Tahoma"/>
        </w:rPr>
        <w:t>The most Senior Member of staff / Fire Marshal will decide if further evacuation of students is necessary.</w:t>
      </w:r>
    </w:p>
    <w:p>
      <w:pPr>
        <w:pStyle w:val="Normal"/>
        <w:numPr>
          <w:ilvl w:val="1"/>
          <w:numId w:val="29"/>
        </w:numPr>
        <w:spacing w:lineRule="auto" w:line="240" w:before="0" w:after="0"/>
        <w:ind w:left="284" w:hanging="284"/>
        <w:jc w:val="both"/>
        <w:rPr>
          <w:rFonts w:cs="Tahoma"/>
        </w:rPr>
      </w:pPr>
      <w:r>
        <w:rPr>
          <w:rFonts w:cs="Tahoma"/>
        </w:rPr>
        <w:t>Wait for further instructions from senior member of staff / Fire Marshal on duty.</w:t>
      </w:r>
    </w:p>
    <w:p>
      <w:pPr>
        <w:pStyle w:val="Normal"/>
        <w:numPr>
          <w:ilvl w:val="1"/>
          <w:numId w:val="29"/>
        </w:numPr>
        <w:spacing w:lineRule="auto" w:line="240" w:before="0" w:after="0"/>
        <w:ind w:left="284" w:hanging="284"/>
        <w:jc w:val="both"/>
        <w:rPr>
          <w:rFonts w:cs="Tahoma"/>
        </w:rPr>
      </w:pPr>
      <w:r>
        <w:rPr>
          <w:rFonts w:cs="Tahoma"/>
        </w:rPr>
        <w:t>On instruction all non – essential staff to report to the assembly point.</w:t>
      </w:r>
    </w:p>
    <w:p>
      <w:pPr>
        <w:pStyle w:val="Normal"/>
        <w:spacing w:lineRule="auto" w:line="240" w:before="0" w:after="0"/>
        <w:jc w:val="both"/>
        <w:rPr>
          <w:rFonts w:cs="Tahoma"/>
        </w:rPr>
      </w:pPr>
      <w:r>
        <w:rPr>
          <w:rFonts w:cs="Tahoma"/>
        </w:rPr>
      </w:r>
    </w:p>
    <w:p>
      <w:pPr>
        <w:pStyle w:val="Normal"/>
        <w:spacing w:lineRule="auto" w:line="240" w:before="0" w:after="0"/>
        <w:jc w:val="both"/>
        <w:rPr>
          <w:rFonts w:cs="Tahoma"/>
          <w:b/>
          <w:b/>
          <w:color w:val="FF0000"/>
        </w:rPr>
      </w:pPr>
      <w:r>
        <w:rPr>
          <w:rFonts w:cs="Tahoma"/>
          <w:b/>
          <w:color w:val="FF0000"/>
        </w:rPr>
        <w:t>On Hearing the Fire Alarm</w:t>
      </w:r>
    </w:p>
    <w:p>
      <w:pPr>
        <w:pStyle w:val="Normal"/>
        <w:spacing w:lineRule="auto" w:line="240" w:before="0" w:after="0"/>
        <w:jc w:val="both"/>
        <w:rPr>
          <w:rFonts w:cs="Tahoma"/>
          <w:b/>
          <w:b/>
          <w:color w:val="FF0000"/>
        </w:rPr>
      </w:pPr>
      <w:r>
        <w:rPr>
          <w:rFonts w:cs="Tahoma"/>
          <w:b/>
          <w:color w:val="FF0000"/>
        </w:rPr>
      </w:r>
    </w:p>
    <w:p>
      <w:pPr>
        <w:pStyle w:val="Normal"/>
        <w:spacing w:lineRule="auto" w:line="240" w:before="0" w:after="0"/>
        <w:jc w:val="both"/>
        <w:rPr>
          <w:rFonts w:cs="Tahoma"/>
        </w:rPr>
      </w:pPr>
      <w:r>
        <w:rPr>
          <w:rFonts w:cs="Tahoma"/>
        </w:rPr>
        <w:t>1. Confirm that the fire is not in your area (check fire panel).</w:t>
      </w:r>
    </w:p>
    <w:p>
      <w:pPr>
        <w:pStyle w:val="Normal"/>
        <w:spacing w:lineRule="auto" w:line="240" w:before="0" w:after="0"/>
        <w:jc w:val="both"/>
        <w:rPr>
          <w:rFonts w:cs="Tahoma"/>
        </w:rPr>
      </w:pPr>
      <w:r>
        <w:rPr>
          <w:rFonts w:cs="Tahoma"/>
        </w:rPr>
        <w:t>2. Close doors and windows.</w:t>
      </w:r>
    </w:p>
    <w:p>
      <w:pPr>
        <w:pStyle w:val="Normal"/>
        <w:spacing w:lineRule="auto" w:line="240" w:before="0" w:after="0"/>
        <w:jc w:val="both"/>
        <w:rPr>
          <w:rFonts w:cs="Tahoma"/>
        </w:rPr>
      </w:pPr>
      <w:r>
        <w:rPr>
          <w:rFonts w:cs="Tahoma"/>
        </w:rPr>
        <w:t>3. Prepare to evacuate if it becomes necessary.</w:t>
      </w:r>
    </w:p>
    <w:p>
      <w:pPr>
        <w:pStyle w:val="Normal"/>
        <w:spacing w:lineRule="auto" w:line="240" w:before="0" w:after="0"/>
        <w:jc w:val="both"/>
        <w:rPr>
          <w:rFonts w:cs="Tahoma"/>
        </w:rPr>
      </w:pPr>
      <w:r>
        <w:rPr>
          <w:rFonts w:cs="Tahoma"/>
        </w:rPr>
        <w:t>4. Assigned staff will remain with students until evacuation takes place or as long as it is safe to do so.</w:t>
      </w:r>
    </w:p>
    <w:p>
      <w:pPr>
        <w:pStyle w:val="Normal"/>
        <w:spacing w:lineRule="auto" w:line="240" w:before="0" w:after="0"/>
        <w:jc w:val="both"/>
        <w:rPr>
          <w:rFonts w:cs="Tahoma"/>
        </w:rPr>
      </w:pPr>
      <w:r>
        <w:rPr>
          <w:rFonts w:cs="Tahoma"/>
        </w:rPr>
        <w:t>5. On instruction all non essential staff will report to the assembly point</w:t>
      </w:r>
    </w:p>
    <w:p>
      <w:pPr>
        <w:pStyle w:val="Normal"/>
        <w:spacing w:lineRule="auto" w:line="240" w:before="0" w:after="0"/>
        <w:jc w:val="both"/>
        <w:rPr>
          <w:rFonts w:cs="Tahoma"/>
        </w:rPr>
      </w:pPr>
      <w:r>
        <w:rPr>
          <w:rFonts w:cs="Tahoma"/>
        </w:rPr>
      </w:r>
    </w:p>
    <w:p>
      <w:pPr>
        <w:pStyle w:val="Normal"/>
        <w:spacing w:lineRule="auto" w:line="240"/>
        <w:jc w:val="both"/>
        <w:rPr>
          <w:rFonts w:cs="Tahoma"/>
          <w:b/>
          <w:b/>
          <w:color w:val="FF0000"/>
        </w:rPr>
      </w:pPr>
      <w:r>
        <w:rPr>
          <w:rFonts w:cs="Tahoma"/>
          <w:b/>
          <w:color w:val="FF0000"/>
        </w:rPr>
        <w:t>Local Assembly Point:</w:t>
      </w:r>
    </w:p>
    <w:p>
      <w:pPr>
        <w:pStyle w:val="Normal"/>
        <w:spacing w:lineRule="auto" w:line="240"/>
        <w:jc w:val="both"/>
        <w:rPr>
          <w:rFonts w:cs="Tahoma"/>
        </w:rPr>
      </w:pPr>
      <w:r>
        <w:rPr>
          <w:rFonts w:cs="Tahoma"/>
        </w:rPr>
        <w:t>____________________________________________</w:t>
      </w:r>
    </w:p>
    <w:p>
      <w:pPr>
        <w:pStyle w:val="Heading1"/>
        <w:spacing w:lineRule="auto" w:line="240"/>
        <w:rPr>
          <w:rFonts w:ascii="Calibri" w:hAnsi="Calibri"/>
        </w:rPr>
      </w:pPr>
      <w:bookmarkStart w:id="51" w:name="_Toc244923595"/>
      <w:bookmarkEnd w:id="51"/>
      <w:r>
        <w:rPr>
          <w:rFonts w:ascii="Calibri" w:hAnsi="Calibri"/>
        </w:rPr>
        <w:t>12. Fire Precautions during Refurbishment and Maintenance Work- Contractors</w:t>
      </w:r>
    </w:p>
    <w:p>
      <w:pPr>
        <w:pStyle w:val="Normal"/>
        <w:spacing w:lineRule="auto" w:line="240"/>
        <w:rPr>
          <w:rFonts w:cs="Tahoma"/>
        </w:rPr>
      </w:pPr>
      <w:r>
        <w:rPr>
          <w:rFonts w:cs="Tahoma"/>
        </w:rPr>
      </w:r>
    </w:p>
    <w:p>
      <w:pPr>
        <w:pStyle w:val="Normal"/>
        <w:spacing w:lineRule="auto" w:line="240"/>
        <w:jc w:val="both"/>
        <w:rPr>
          <w:rFonts w:cs="Tahoma"/>
        </w:rPr>
      </w:pPr>
      <w:r>
        <w:rPr>
          <w:rFonts w:cs="Tahoma"/>
        </w:rPr>
        <w:t>Managers who appoint or manage contractors or outside staff are required to ensure that the fire safety precautions are brought to their attention and receive assurance that they will be respected and complied with.</w:t>
      </w:r>
    </w:p>
    <w:p>
      <w:pPr>
        <w:pStyle w:val="Normal"/>
        <w:spacing w:lineRule="auto" w:line="240"/>
        <w:jc w:val="both"/>
        <w:rPr>
          <w:rFonts w:cs="Tahoma"/>
        </w:rPr>
      </w:pPr>
      <w:r>
        <w:rPr>
          <w:rFonts w:cs="Tahoma"/>
        </w:rPr>
        <w:t>It shall be the duty of every person having control over any part of the School to take all reasonable measures to guard against the outbreak of fire and to ensure as far as is reasonably practicable the safety of persons in the event of an outbreak of fire.</w:t>
      </w:r>
    </w:p>
    <w:p>
      <w:pPr>
        <w:pStyle w:val="Normal"/>
        <w:spacing w:lineRule="auto" w:line="240"/>
        <w:jc w:val="both"/>
        <w:rPr>
          <w:rFonts w:cs="Tahoma"/>
        </w:rPr>
      </w:pPr>
      <w:r>
        <w:rPr>
          <w:rFonts w:cs="Tahoma"/>
        </w:rPr>
        <w:t>Contractors arriving on site should familiarise themselves with all fire exits and emergency escape routes. Contractors are responsible for the provision of fire fighting equipment appropriate to the work involved.</w:t>
      </w:r>
    </w:p>
    <w:p>
      <w:pPr>
        <w:pStyle w:val="Normal"/>
        <w:spacing w:lineRule="auto" w:line="240"/>
        <w:jc w:val="both"/>
        <w:rPr>
          <w:rFonts w:cs="Tahoma"/>
        </w:rPr>
      </w:pPr>
      <w:r>
        <w:rPr>
          <w:rFonts w:cs="Tahoma"/>
        </w:rPr>
        <w:t>Fire exits and fire-fighting equipment must under no circumstances be obstructed or blocked by any act or omission of theirs. Access by residents to areas of work should be restricted. The fire alarm will not be interfered with or isolated without prior consultation with the appropriate authorities.</w:t>
      </w:r>
    </w:p>
    <w:p>
      <w:pPr>
        <w:pStyle w:val="Normal"/>
        <w:spacing w:lineRule="auto" w:line="240"/>
        <w:jc w:val="both"/>
        <w:rPr>
          <w:rFonts w:cs="Tahoma"/>
        </w:rPr>
      </w:pPr>
      <w:r>
        <w:rPr>
          <w:rFonts w:cs="Tahoma"/>
        </w:rPr>
        <w:t>A “hot work” permit certificate will be completed by the contractor in relation to welding or any hot work activity. This certificate will be authorised by the Maintenance Manager/Buildings Officer.</w:t>
      </w:r>
    </w:p>
    <w:p>
      <w:pPr>
        <w:pStyle w:val="Normal"/>
        <w:spacing w:lineRule="auto" w:line="240"/>
        <w:jc w:val="both"/>
        <w:rPr>
          <w:rFonts w:cs="Tahoma"/>
        </w:rPr>
      </w:pPr>
      <w:r>
        <w:rPr>
          <w:rFonts w:cs="Tahoma"/>
        </w:rPr>
        <w:t>Before carrying out any “hot work” Contractors will make sure that there is a fire extinguisher present. Before leaving the work area, contractors will ensure that naked lights and other ignition sources have been extinguished and electrical apparatus, where practicable are switched off and disconnected.</w:t>
      </w:r>
    </w:p>
    <w:p>
      <w:pPr>
        <w:pStyle w:val="Normal"/>
        <w:spacing w:lineRule="auto" w:line="240"/>
        <w:jc w:val="both"/>
        <w:rPr>
          <w:rFonts w:cs="Tahoma"/>
        </w:rPr>
      </w:pPr>
      <w:r>
        <w:rPr>
          <w:rFonts w:cs="Tahoma"/>
        </w:rPr>
        <w:t xml:space="preserve">Hazardous equipment and materials should be removed from the building at the end of each working day. The site activities of contractors will be strictly supervised and controlled. </w:t>
      </w:r>
      <w:r>
        <w:rPr>
          <w:color w:val="000000"/>
          <w:sz w:val="24"/>
          <w:szCs w:val="24"/>
        </w:rPr>
        <w:t xml:space="preserve">Togher Boys’ </w:t>
      </w:r>
      <w:r>
        <w:rPr>
          <w:rFonts w:cs="Tahoma"/>
        </w:rPr>
        <w:t>NATIONAL SCHOOL will ensure that all necessary precautions against fire are taken. The safe work practice sheets relevant to any type of maintenance work should be consulted.</w:t>
      </w:r>
    </w:p>
    <w:p>
      <w:pPr>
        <w:pStyle w:val="Heading1"/>
        <w:spacing w:lineRule="auto" w:line="240"/>
        <w:rPr>
          <w:rFonts w:ascii="Calibri" w:hAnsi="Calibri"/>
        </w:rPr>
      </w:pPr>
      <w:bookmarkStart w:id="52" w:name="_Toc244923596"/>
      <w:bookmarkEnd w:id="52"/>
      <w:r>
        <w:rPr>
          <w:rFonts w:ascii="Calibri" w:hAnsi="Calibri"/>
        </w:rPr>
        <w:t>13. Medical and Other Gases</w:t>
      </w:r>
    </w:p>
    <w:p>
      <w:pPr>
        <w:pStyle w:val="Normal"/>
        <w:spacing w:lineRule="auto" w:line="240"/>
        <w:rPr>
          <w:rFonts w:cs="Tahoma"/>
        </w:rPr>
      </w:pPr>
      <w:r>
        <w:rPr>
          <w:rFonts w:cs="Tahoma"/>
        </w:rPr>
      </w:r>
    </w:p>
    <w:p>
      <w:pPr>
        <w:pStyle w:val="Normal"/>
        <w:spacing w:lineRule="auto" w:line="240"/>
        <w:jc w:val="both"/>
        <w:rPr>
          <w:rFonts w:cs="Tahoma"/>
        </w:rPr>
      </w:pPr>
      <w:r>
        <w:rPr>
          <w:rFonts w:cs="Tahoma"/>
        </w:rPr>
        <w:t xml:space="preserve">Strict precautions are to be taken by all staff members working with or using gas whether for service user use, cooking, welding or for cutting. </w:t>
      </w:r>
      <w:r>
        <w:rPr>
          <w:rFonts w:cs="Tahoma"/>
          <w:b/>
        </w:rPr>
        <w:t>The use of medical gases can produce an oxygen-enriched atmosphere that greatly increases the risk of combustion.</w:t>
      </w:r>
    </w:p>
    <w:p>
      <w:pPr>
        <w:pStyle w:val="Normal"/>
        <w:spacing w:lineRule="auto" w:line="240"/>
        <w:jc w:val="both"/>
        <w:rPr>
          <w:rFonts w:cs="Tahoma"/>
        </w:rPr>
      </w:pPr>
      <w:r>
        <w:rPr>
          <w:rFonts w:cs="Tahoma"/>
        </w:rPr>
        <w:t xml:space="preserve">Precautions are in place were these gases are stored in </w:t>
      </w:r>
      <w:r>
        <w:rPr>
          <w:color w:val="000000"/>
          <w:sz w:val="24"/>
          <w:szCs w:val="24"/>
        </w:rPr>
        <w:t xml:space="preserve">Togher Boys’ </w:t>
      </w:r>
      <w:r>
        <w:rPr>
          <w:rFonts w:cs="Tahoma"/>
        </w:rPr>
        <w:t xml:space="preserve">NATIONAL SCHOOL to avoid contact with flammable materials and sources of ignition. Always follow the precautions as laid down in the safety supporting documentation as supplied by </w:t>
      </w:r>
      <w:r>
        <w:rPr>
          <w:color w:val="000000"/>
          <w:sz w:val="24"/>
          <w:szCs w:val="24"/>
        </w:rPr>
        <w:t xml:space="preserve">Togher Boys’ </w:t>
      </w:r>
      <w:r>
        <w:rPr>
          <w:rFonts w:cs="Tahoma"/>
        </w:rPr>
        <w:t>NATIONAL SCHOOL.</w:t>
      </w:r>
    </w:p>
    <w:p>
      <w:pPr>
        <w:pStyle w:val="Normal"/>
        <w:spacing w:lineRule="auto" w:line="240"/>
        <w:jc w:val="both"/>
        <w:rPr>
          <w:rFonts w:cs="Tahoma"/>
        </w:rPr>
      </w:pPr>
      <w:r>
        <w:rPr>
          <w:rFonts w:cs="Tahoma"/>
        </w:rPr>
        <w:t>The cylinders are to be stored in a well-ventilated area. Cylinders are segregated by the properties of the gas and stored away from all combustible materials and from the risk of heat and ignition.</w:t>
      </w:r>
    </w:p>
    <w:p>
      <w:pPr>
        <w:pStyle w:val="Normal"/>
        <w:spacing w:lineRule="auto" w:line="240"/>
        <w:jc w:val="both"/>
        <w:rPr>
          <w:rFonts w:cs="Tahoma"/>
        </w:rPr>
      </w:pPr>
      <w:r>
        <w:rPr>
          <w:rFonts w:cs="Tahoma"/>
        </w:rPr>
        <w:t>Fire safety warning signs and no smoking signs are displayed in this area.  All gas cylinders must be stored in accordance with the recommended practice for the gas concerned. This information to be obtained from the supplier of the Gas in question. The cylinder storage area should be kept clear and access restricted to unauthorised personnel.</w:t>
      </w:r>
    </w:p>
    <w:p>
      <w:pPr>
        <w:pStyle w:val="Normal"/>
        <w:spacing w:lineRule="auto" w:line="240"/>
        <w:jc w:val="both"/>
        <w:rPr>
          <w:rFonts w:cs="Tahoma"/>
        </w:rPr>
      </w:pPr>
      <w:r>
        <w:rPr>
          <w:rFonts w:cs="Tahoma"/>
        </w:rPr>
        <w:t>Cylinders must be stored vertically and must be chained to secure and to prevent them from falling. Gas cylinders both empty and full should be chained. Full and empty cylinders must be stored separately. Valve guards or caps, where fitted, should be in place and properly secured.</w:t>
      </w:r>
    </w:p>
    <w:p>
      <w:pPr>
        <w:pStyle w:val="Normal"/>
        <w:spacing w:lineRule="auto" w:line="240"/>
        <w:jc w:val="both"/>
        <w:rPr>
          <w:rFonts w:cs="Tahoma"/>
        </w:rPr>
      </w:pPr>
      <w:r>
        <w:rPr>
          <w:rFonts w:cs="Tahoma"/>
        </w:rPr>
        <w:t xml:space="preserve">Gas cylinders are checked periodically (weekly) for general condition and leaks. Gas leaks must only be checked by using an approved leak detection fluid. A naked flame must never be used to check for leaks.  All checks should be logged and the log attached to the relevant cylinder.  </w:t>
      </w:r>
    </w:p>
    <w:p>
      <w:pPr>
        <w:pStyle w:val="Normal"/>
        <w:spacing w:lineRule="auto" w:line="240"/>
        <w:jc w:val="both"/>
        <w:rPr>
          <w:rFonts w:cs="Tahoma"/>
        </w:rPr>
      </w:pPr>
      <w:r>
        <w:rPr>
          <w:rFonts w:cs="Tahoma"/>
        </w:rPr>
        <w:t>Care should be taken not to permit oil, grease or other combustible materials to come into contact with a cylinder particularly oil, water and particulate matter. Staff must be suitably trained when working with gas.</w:t>
      </w:r>
    </w:p>
    <w:p>
      <w:pPr>
        <w:pStyle w:val="Heading1"/>
        <w:spacing w:lineRule="auto" w:line="240"/>
        <w:rPr>
          <w:rFonts w:ascii="Calibri" w:hAnsi="Calibri"/>
        </w:rPr>
      </w:pPr>
      <w:bookmarkStart w:id="53" w:name="_Toc244923597"/>
      <w:bookmarkEnd w:id="53"/>
      <w:r>
        <w:rPr>
          <w:rFonts w:ascii="Calibri" w:hAnsi="Calibri"/>
        </w:rPr>
        <w:t>14. Flammable Substances</w:t>
      </w:r>
    </w:p>
    <w:p>
      <w:pPr>
        <w:pStyle w:val="ListParagraph"/>
        <w:spacing w:lineRule="auto" w:line="240"/>
        <w:ind w:left="0" w:hanging="0"/>
        <w:jc w:val="both"/>
        <w:rPr>
          <w:rFonts w:cs="Tahoma"/>
        </w:rPr>
      </w:pPr>
      <w:r>
        <w:rPr>
          <w:rFonts w:cs="Tahoma"/>
        </w:rPr>
        <w:t>Handling and storage arrangements will be in accordance with the manufacturers warning labels and instructions. Hazard warning signs are placed on the entrance of the stores. All employees are made aware of the warning symbols on materials</w:t>
      </w:r>
    </w:p>
    <w:p>
      <w:pPr>
        <w:pStyle w:val="ListParagraph"/>
        <w:spacing w:lineRule="auto" w:line="240"/>
        <w:ind w:left="0" w:hanging="0"/>
        <w:jc w:val="both"/>
        <w:rPr>
          <w:rFonts w:cs="Tahoma"/>
        </w:rPr>
      </w:pPr>
      <w:r>
        <w:rPr>
          <w:rFonts w:cs="Tahoma"/>
        </w:rPr>
      </w:r>
    </w:p>
    <w:p>
      <w:pPr>
        <w:pStyle w:val="ListParagraph"/>
        <w:spacing w:lineRule="auto" w:line="240"/>
        <w:ind w:left="0" w:hanging="0"/>
        <w:jc w:val="both"/>
        <w:rPr>
          <w:rFonts w:cs="Tahoma"/>
        </w:rPr>
      </w:pPr>
      <w:r>
        <w:rPr>
          <w:rFonts w:cs="Tahoma"/>
        </w:rPr>
        <w:t>Flammable liquids must be used and dispensed in a safe place with adequate natural or mechanical ventilation. Sources of ignition such as static electricity, unprotected electrical equipment, cigarettes or naked flames are prohibited where highly flammable liquids are being used. All flammable materials are stored separately from high-risk areas.</w:t>
      </w:r>
    </w:p>
    <w:p>
      <w:pPr>
        <w:pStyle w:val="ListParagraph"/>
        <w:spacing w:lineRule="auto" w:line="240"/>
        <w:ind w:left="0" w:hanging="0"/>
        <w:jc w:val="both"/>
        <w:rPr>
          <w:rFonts w:cs="Tahoma"/>
        </w:rPr>
      </w:pPr>
      <w:r>
        <w:rPr>
          <w:rFonts w:cs="Tahoma"/>
        </w:rPr>
        <w:t>Chemicals are stored and segregated according to their properties, minimal quantities must be stored. Only small quantities (not greater than 50 litres) of flammable liquids must be stored on their own in a metal fire-resisting cupboard or stored in an appropriate safe area for immediate use at the workplace. Larger stock must be stored in a fire-resisting store with spillage retention and adequate ventilation. Storage areas must be kept locked at all times.</w:t>
      </w:r>
    </w:p>
    <w:p>
      <w:pPr>
        <w:pStyle w:val="ListParagraph"/>
        <w:spacing w:lineRule="auto" w:line="240"/>
        <w:ind w:left="0" w:hanging="0"/>
        <w:jc w:val="both"/>
        <w:rPr>
          <w:rFonts w:cs="Tahoma"/>
        </w:rPr>
      </w:pPr>
      <w:r>
        <w:rPr>
          <w:rFonts w:cs="Tahoma"/>
        </w:rPr>
      </w:r>
    </w:p>
    <w:p>
      <w:pPr>
        <w:pStyle w:val="ListParagraph"/>
        <w:spacing w:lineRule="auto" w:line="240"/>
        <w:ind w:left="0" w:hanging="0"/>
        <w:jc w:val="both"/>
        <w:rPr>
          <w:rFonts w:cs="Tahoma"/>
        </w:rPr>
      </w:pPr>
      <w:r>
        <w:rPr>
          <w:rFonts w:cs="Tahoma"/>
        </w:rPr>
        <w:t>Storage must be adequate to prevent unauthorised access or use. A system of inspection of stock and disposal of deteriorated materials will be operated. Containers are kept closed to stop vapour escaping. Where possible safety containers will be fitted with self–closing lids and caps. Spillages of flammable liquids are dealt with immediately. Absorbent material will be readily available to soak up spillages.</w:t>
      </w:r>
    </w:p>
    <w:p>
      <w:pPr>
        <w:pStyle w:val="ListParagraph"/>
        <w:spacing w:lineRule="auto" w:line="240"/>
        <w:ind w:left="0" w:hanging="0"/>
        <w:jc w:val="both"/>
        <w:rPr>
          <w:rFonts w:cs="Tahoma"/>
        </w:rPr>
      </w:pPr>
      <w:r>
        <w:rPr>
          <w:rFonts w:cs="Tahoma"/>
        </w:rPr>
      </w:r>
    </w:p>
    <w:p>
      <w:pPr>
        <w:pStyle w:val="ListParagraph"/>
        <w:spacing w:lineRule="auto" w:line="240"/>
        <w:ind w:left="0" w:hanging="0"/>
        <w:jc w:val="both"/>
        <w:rPr>
          <w:rFonts w:cs="Tahoma"/>
        </w:rPr>
      </w:pPr>
      <w:r>
        <w:rPr>
          <w:rFonts w:cs="Tahoma"/>
        </w:rPr>
        <w:t>Contaminated material will be kept in a lidded metal bin, emptied regularly and disposed of according to Waste Regulations. All containers of flammable substances whether full or empty should be treated as if they are full and as highly dangerous. Flammable substances should never be left beside a heating appliance.</w:t>
      </w:r>
    </w:p>
    <w:p>
      <w:pPr>
        <w:pStyle w:val="Heading1"/>
        <w:spacing w:lineRule="auto" w:line="240"/>
        <w:rPr>
          <w:rFonts w:ascii="Calibri" w:hAnsi="Calibri"/>
        </w:rPr>
      </w:pPr>
      <w:bookmarkStart w:id="54" w:name="_Toc244923598"/>
      <w:bookmarkEnd w:id="54"/>
      <w:r>
        <w:rPr>
          <w:rFonts w:ascii="Calibri" w:hAnsi="Calibri"/>
        </w:rPr>
        <w:t>15. Contractors and Visitors</w:t>
      </w:r>
    </w:p>
    <w:p>
      <w:pPr>
        <w:pStyle w:val="Heading2"/>
        <w:spacing w:lineRule="auto" w:line="240"/>
        <w:rPr>
          <w:rFonts w:ascii="Calibri" w:hAnsi="Calibri"/>
        </w:rPr>
      </w:pPr>
      <w:bookmarkStart w:id="55" w:name="_Toc244923599"/>
      <w:bookmarkEnd w:id="55"/>
      <w:r>
        <w:rPr>
          <w:rFonts w:ascii="Calibri" w:hAnsi="Calibri"/>
        </w:rPr>
        <w:t>15.1 Contractors</w:t>
      </w:r>
    </w:p>
    <w:p>
      <w:pPr>
        <w:pStyle w:val="Normal"/>
        <w:spacing w:lineRule="auto" w:line="240"/>
        <w:jc w:val="both"/>
        <w:rPr>
          <w:rFonts w:cs="Tahoma"/>
        </w:rPr>
      </w:pPr>
      <w:r>
        <w:rPr>
          <w:rFonts w:cs="Tahoma"/>
        </w:rPr>
        <w:t>All contractors must report to the Departmental Head in the area in which they are working, when entering and leaving the premises</w:t>
      </w:r>
    </w:p>
    <w:p>
      <w:pPr>
        <w:pStyle w:val="Normal"/>
        <w:spacing w:lineRule="auto" w:line="240"/>
        <w:jc w:val="both"/>
        <w:rPr>
          <w:rFonts w:cs="Tahoma"/>
          <w:b/>
          <w:b/>
        </w:rPr>
      </w:pPr>
      <w:r>
        <w:rPr>
          <w:rFonts w:cs="Tahoma"/>
          <w:b/>
        </w:rPr>
        <w:t>Rules and Conditions:</w:t>
      </w:r>
    </w:p>
    <w:p>
      <w:pPr>
        <w:pStyle w:val="Normal"/>
        <w:numPr>
          <w:ilvl w:val="1"/>
          <w:numId w:val="38"/>
        </w:numPr>
        <w:spacing w:lineRule="auto" w:line="240" w:before="0" w:after="0"/>
        <w:ind w:left="284" w:hanging="284"/>
        <w:jc w:val="both"/>
        <w:rPr>
          <w:rFonts w:cs="Tahoma"/>
        </w:rPr>
      </w:pPr>
      <w:r>
        <w:rPr>
          <w:rFonts w:cs="Tahoma"/>
        </w:rPr>
        <w:t>Contractors must comply with the Safety, Health and Welfare at Work Act 2005, Safety, Health and Welfare at Work (General Application) Regulations 2007, the Safety, Health and Welfare at Work (Construction) Regulations 2006 and any other statutory provisions and common law duties. Observance of this document does not relieve the contractor of his/her contractual obligations.</w:t>
      </w:r>
    </w:p>
    <w:p>
      <w:pPr>
        <w:pStyle w:val="Normal"/>
        <w:numPr>
          <w:ilvl w:val="1"/>
          <w:numId w:val="38"/>
        </w:numPr>
        <w:spacing w:lineRule="auto" w:line="240" w:before="0" w:after="0"/>
        <w:ind w:left="284" w:hanging="284"/>
        <w:jc w:val="both"/>
        <w:rPr>
          <w:rFonts w:cs="Tahoma"/>
        </w:rPr>
      </w:pPr>
      <w:r>
        <w:rPr>
          <w:rFonts w:cs="Tahoma"/>
        </w:rPr>
        <w:t xml:space="preserve">All Contractors before initially coming onsite must review </w:t>
      </w:r>
      <w:r>
        <w:rPr>
          <w:color w:val="000000"/>
          <w:sz w:val="24"/>
          <w:szCs w:val="24"/>
        </w:rPr>
        <w:t xml:space="preserve">Togher Boys’ </w:t>
      </w:r>
      <w:r>
        <w:rPr>
          <w:rFonts w:cs="Tahoma"/>
        </w:rPr>
        <w:t>NATIONAL SCHOOL Contractor Safety Instructions, Hazard Control – Safe Work Practices (Contact Health and Safety Officer) and where necessary, the Permit to Work System such as Asbestos, Confined Space, Gas, Major Electrical and Heights.  Contact Maintenance Dept. for exhaustive list and sign off on these.</w:t>
      </w:r>
    </w:p>
    <w:p>
      <w:pPr>
        <w:pStyle w:val="Normal"/>
        <w:numPr>
          <w:ilvl w:val="1"/>
          <w:numId w:val="38"/>
        </w:numPr>
        <w:spacing w:lineRule="auto" w:line="240" w:before="0" w:after="0"/>
        <w:ind w:left="284" w:hanging="284"/>
        <w:jc w:val="both"/>
        <w:rPr>
          <w:rFonts w:cs="Tahoma"/>
        </w:rPr>
      </w:pPr>
      <w:r>
        <w:rPr>
          <w:rFonts w:cs="Tahoma"/>
        </w:rPr>
        <w:t xml:space="preserve">Contractors must ensure they have undergone a </w:t>
      </w:r>
      <w:r>
        <w:rPr>
          <w:color w:val="000000"/>
          <w:sz w:val="24"/>
          <w:szCs w:val="24"/>
        </w:rPr>
        <w:t xml:space="preserve">Togher Boys’ </w:t>
      </w:r>
      <w:r>
        <w:rPr>
          <w:rFonts w:cs="Tahoma"/>
        </w:rPr>
        <w:t>NATIONAL SCHOOL safety induction and signed this upon arrival and prior to working on site.</w:t>
      </w:r>
    </w:p>
    <w:p>
      <w:pPr>
        <w:pStyle w:val="Normal"/>
        <w:numPr>
          <w:ilvl w:val="1"/>
          <w:numId w:val="38"/>
        </w:numPr>
        <w:spacing w:lineRule="auto" w:line="240" w:before="0" w:after="0"/>
        <w:ind w:left="284" w:hanging="284"/>
        <w:jc w:val="both"/>
        <w:rPr>
          <w:rFonts w:cs="Tahoma"/>
        </w:rPr>
      </w:pPr>
      <w:r>
        <w:rPr>
          <w:rFonts w:cs="Tahoma"/>
        </w:rPr>
        <w:t>The contractor must ensure that his/her employees or sub-contractors are competent with adequate training to perform the task they are required to do in a safe and competent manner.</w:t>
      </w:r>
    </w:p>
    <w:p>
      <w:pPr>
        <w:pStyle w:val="Normal"/>
        <w:numPr>
          <w:ilvl w:val="1"/>
          <w:numId w:val="38"/>
        </w:numPr>
        <w:spacing w:lineRule="auto" w:line="240" w:before="0" w:after="0"/>
        <w:ind w:left="284" w:hanging="284"/>
        <w:jc w:val="both"/>
        <w:rPr>
          <w:rFonts w:cs="Tahoma"/>
        </w:rPr>
      </w:pPr>
      <w:r>
        <w:rPr>
          <w:rFonts w:cs="Tahoma"/>
        </w:rPr>
        <w:t>Contractors will provide their workers with appropriate PPE suitable for the task in hand. PPE must comply with Irish standards, British standards and EU standards.</w:t>
      </w:r>
    </w:p>
    <w:p>
      <w:pPr>
        <w:pStyle w:val="Normal"/>
        <w:numPr>
          <w:ilvl w:val="1"/>
          <w:numId w:val="38"/>
        </w:numPr>
        <w:spacing w:lineRule="auto" w:line="240" w:before="0" w:after="0"/>
        <w:ind w:left="284" w:hanging="284"/>
        <w:jc w:val="both"/>
        <w:rPr>
          <w:rFonts w:cs="Tahoma"/>
        </w:rPr>
      </w:pPr>
      <w:r>
        <w:rPr>
          <w:rFonts w:cs="Tahoma"/>
        </w:rPr>
        <w:t>Safety shoes must be worn at all times. Hearing protection must be worn in areas were the occasion warrants it. Safety glasses and gloves must be worn whilst handling chemicals</w:t>
      </w:r>
    </w:p>
    <w:p>
      <w:pPr>
        <w:pStyle w:val="Normal"/>
        <w:numPr>
          <w:ilvl w:val="1"/>
          <w:numId w:val="38"/>
        </w:numPr>
        <w:spacing w:lineRule="auto" w:line="240" w:before="0" w:after="0"/>
        <w:ind w:left="284" w:hanging="284"/>
        <w:jc w:val="both"/>
        <w:rPr>
          <w:rFonts w:cs="Tahoma"/>
        </w:rPr>
      </w:pPr>
      <w:r>
        <w:rPr>
          <w:rFonts w:cs="Tahoma"/>
        </w:rPr>
        <w:t xml:space="preserve">All contractors are expected to carry out the work for </w:t>
      </w:r>
      <w:r>
        <w:rPr>
          <w:color w:val="000000"/>
          <w:sz w:val="24"/>
          <w:szCs w:val="24"/>
        </w:rPr>
        <w:t xml:space="preserve">Togher Boys’ </w:t>
      </w:r>
      <w:r>
        <w:rPr>
          <w:rFonts w:cs="Tahoma"/>
        </w:rPr>
        <w:t xml:space="preserve">NATIONAL SCHOOL in a clean and orderly manner and to maintain the site safely.  </w:t>
      </w:r>
    </w:p>
    <w:p>
      <w:pPr>
        <w:pStyle w:val="Normal"/>
        <w:numPr>
          <w:ilvl w:val="1"/>
          <w:numId w:val="38"/>
        </w:numPr>
        <w:spacing w:lineRule="auto" w:line="240" w:before="0" w:after="0"/>
        <w:ind w:left="284" w:hanging="284"/>
        <w:jc w:val="both"/>
        <w:rPr>
          <w:rFonts w:cs="Tahoma"/>
        </w:rPr>
      </w:pPr>
      <w:r>
        <w:rPr>
          <w:rFonts w:cs="Tahoma"/>
        </w:rPr>
        <w:t>It is the contractor’s responsibility to ascertain the existence and whereabouts of electrical cables, drains, air lines, gas and water mains.</w:t>
      </w:r>
    </w:p>
    <w:p>
      <w:pPr>
        <w:pStyle w:val="Normal"/>
        <w:numPr>
          <w:ilvl w:val="1"/>
          <w:numId w:val="38"/>
        </w:numPr>
        <w:spacing w:lineRule="auto" w:line="240" w:before="0" w:after="0"/>
        <w:ind w:left="284" w:hanging="284"/>
        <w:jc w:val="both"/>
        <w:rPr>
          <w:rFonts w:cs="Tahoma"/>
        </w:rPr>
      </w:pPr>
      <w:r>
        <w:rPr>
          <w:rFonts w:cs="Tahoma"/>
        </w:rPr>
        <w:t xml:space="preserve">Contractors must not connect into or interfere with the compressed air, electrical, gas or other services of </w:t>
      </w:r>
      <w:r>
        <w:rPr>
          <w:color w:val="000000"/>
          <w:sz w:val="24"/>
          <w:szCs w:val="24"/>
        </w:rPr>
        <w:t xml:space="preserve">Togher Boys’ </w:t>
      </w:r>
      <w:r>
        <w:rPr>
          <w:rFonts w:cs="Tahoma"/>
        </w:rPr>
        <w:t>NATIONAL SCHOOL without prior permission from the Engineering Manager/Insurance Authorities.</w:t>
      </w:r>
    </w:p>
    <w:p>
      <w:pPr>
        <w:pStyle w:val="Normal"/>
        <w:numPr>
          <w:ilvl w:val="1"/>
          <w:numId w:val="38"/>
        </w:numPr>
        <w:spacing w:lineRule="auto" w:line="240" w:before="0" w:after="0"/>
        <w:ind w:left="284" w:hanging="284"/>
        <w:jc w:val="both"/>
        <w:rPr>
          <w:rFonts w:cs="Tahoma"/>
        </w:rPr>
      </w:pPr>
      <w:r>
        <w:rPr>
          <w:rFonts w:cs="Tahoma"/>
        </w:rPr>
        <w:t>Where the operations of the contractor are likely to put any person at risk, the contractor must advise the Health &amp; Safety Officer and agree safe work procedures.</w:t>
      </w:r>
    </w:p>
    <w:p>
      <w:pPr>
        <w:pStyle w:val="Normal"/>
        <w:numPr>
          <w:ilvl w:val="1"/>
          <w:numId w:val="38"/>
        </w:numPr>
        <w:spacing w:lineRule="auto" w:line="240" w:before="0" w:after="0"/>
        <w:ind w:left="284" w:hanging="284"/>
        <w:jc w:val="both"/>
        <w:rPr>
          <w:rFonts w:cs="Tahoma"/>
        </w:rPr>
      </w:pPr>
      <w:r>
        <w:rPr>
          <w:rFonts w:cs="Tahoma"/>
        </w:rPr>
        <w:t>Littering will not be tolerated</w:t>
      </w:r>
    </w:p>
    <w:p>
      <w:pPr>
        <w:pStyle w:val="Normal"/>
        <w:numPr>
          <w:ilvl w:val="1"/>
          <w:numId w:val="38"/>
        </w:numPr>
        <w:spacing w:lineRule="auto" w:line="240" w:before="0" w:after="0"/>
        <w:ind w:left="284" w:hanging="284"/>
        <w:jc w:val="both"/>
        <w:rPr>
          <w:rFonts w:cs="Tahoma"/>
        </w:rPr>
      </w:pPr>
      <w:r>
        <w:rPr>
          <w:rFonts w:cs="Tahoma"/>
        </w:rPr>
        <w:t>Materials, common goods or equipment should not be left obstructing walkways or aisles, entrances or exits, especially fire exits, nor should they obstruct access to any fire extinguisher or hose.</w:t>
      </w:r>
    </w:p>
    <w:p>
      <w:pPr>
        <w:pStyle w:val="Normal"/>
        <w:numPr>
          <w:ilvl w:val="1"/>
          <w:numId w:val="38"/>
        </w:numPr>
        <w:spacing w:lineRule="auto" w:line="240" w:before="0" w:after="0"/>
        <w:ind w:left="284" w:hanging="284"/>
        <w:jc w:val="both"/>
        <w:rPr>
          <w:rFonts w:cs="Tahoma"/>
        </w:rPr>
      </w:pPr>
      <w:r>
        <w:rPr>
          <w:rFonts w:cs="Tahoma"/>
        </w:rPr>
        <w:t>No smoking rules must be obeyed throughout the School especially when handling or working with flammable materials.</w:t>
      </w:r>
    </w:p>
    <w:p>
      <w:pPr>
        <w:pStyle w:val="Normal"/>
        <w:numPr>
          <w:ilvl w:val="1"/>
          <w:numId w:val="38"/>
        </w:numPr>
        <w:spacing w:lineRule="auto" w:line="240" w:before="0" w:after="0"/>
        <w:ind w:left="284" w:hanging="284"/>
        <w:jc w:val="both"/>
        <w:rPr>
          <w:rFonts w:cs="Tahoma"/>
        </w:rPr>
      </w:pPr>
      <w:r>
        <w:rPr>
          <w:rFonts w:cs="Tahoma"/>
        </w:rPr>
        <w:t xml:space="preserve">Storage of flammable substances must be agreed with the Health and Safety Officer of </w:t>
      </w:r>
      <w:r>
        <w:rPr>
          <w:color w:val="000000"/>
          <w:sz w:val="24"/>
          <w:szCs w:val="24"/>
        </w:rPr>
        <w:t xml:space="preserve">Togher Boys’ </w:t>
      </w:r>
      <w:r>
        <w:rPr>
          <w:rFonts w:cs="Tahoma"/>
        </w:rPr>
        <w:t>NATIONAL SCHOOL.</w:t>
      </w:r>
    </w:p>
    <w:p>
      <w:pPr>
        <w:pStyle w:val="Normal"/>
        <w:numPr>
          <w:ilvl w:val="1"/>
          <w:numId w:val="38"/>
        </w:numPr>
        <w:spacing w:lineRule="auto" w:line="240" w:before="0" w:after="0"/>
        <w:ind w:left="284" w:hanging="284"/>
        <w:jc w:val="both"/>
        <w:rPr>
          <w:rFonts w:cs="Tahoma"/>
        </w:rPr>
      </w:pPr>
      <w:r>
        <w:rPr>
          <w:rFonts w:cs="Tahoma"/>
        </w:rPr>
        <w:t>Contractors arriving on site should familiarise themselves with all fire exits and emergency escape routes. If the Fire Alarm sounds, contractors should switch off any equipment they are using and proceed without delay to the buildings designated assembly point through the nearest emergency exit. No person shall re-enter the evacuated building until the Fire Brigade Officer has given the all clear.</w:t>
      </w:r>
    </w:p>
    <w:p>
      <w:pPr>
        <w:pStyle w:val="Normal"/>
        <w:numPr>
          <w:ilvl w:val="1"/>
          <w:numId w:val="38"/>
        </w:numPr>
        <w:spacing w:lineRule="auto" w:line="240" w:before="0" w:after="0"/>
        <w:ind w:left="284" w:hanging="284"/>
        <w:jc w:val="both"/>
        <w:rPr>
          <w:rFonts w:cs="Tahoma"/>
        </w:rPr>
      </w:pPr>
      <w:r>
        <w:rPr>
          <w:rFonts w:cs="Tahoma"/>
        </w:rPr>
        <w:t>All contractors’ machinery, plant and equipment on site must comply with regulations relating to that type of equipment and must, where appropriate, be securely guarded or fenced</w:t>
      </w:r>
    </w:p>
    <w:p>
      <w:pPr>
        <w:pStyle w:val="Normal"/>
        <w:numPr>
          <w:ilvl w:val="1"/>
          <w:numId w:val="38"/>
        </w:numPr>
        <w:spacing w:lineRule="auto" w:line="240" w:before="0" w:after="0"/>
        <w:ind w:left="284" w:hanging="284"/>
        <w:jc w:val="both"/>
        <w:rPr>
          <w:rFonts w:cs="Tahoma"/>
        </w:rPr>
      </w:pPr>
      <w:r>
        <w:rPr>
          <w:rFonts w:cs="Tahoma"/>
        </w:rPr>
        <w:t>Materials must be carefully moved and not thrown or dropped form a height.</w:t>
      </w:r>
    </w:p>
    <w:p>
      <w:pPr>
        <w:pStyle w:val="Normal"/>
        <w:numPr>
          <w:ilvl w:val="1"/>
          <w:numId w:val="38"/>
        </w:numPr>
        <w:spacing w:lineRule="auto" w:line="240" w:before="0" w:after="0"/>
        <w:ind w:left="284" w:hanging="284"/>
        <w:jc w:val="both"/>
        <w:rPr>
          <w:rFonts w:cs="Tahoma"/>
        </w:rPr>
      </w:pPr>
      <w:r>
        <w:rPr>
          <w:rFonts w:cs="Tahoma"/>
        </w:rPr>
        <w:t>Contractors are responsible for providing first aid arrangements for their employees</w:t>
      </w:r>
    </w:p>
    <w:p>
      <w:pPr>
        <w:pStyle w:val="Normal"/>
        <w:numPr>
          <w:ilvl w:val="1"/>
          <w:numId w:val="38"/>
        </w:numPr>
        <w:spacing w:lineRule="auto" w:line="240" w:before="0" w:after="0"/>
        <w:ind w:left="284" w:hanging="284"/>
        <w:jc w:val="both"/>
        <w:rPr>
          <w:rFonts w:cs="Tahoma"/>
        </w:rPr>
      </w:pPr>
      <w:r>
        <w:rPr>
          <w:rFonts w:cs="Tahoma"/>
        </w:rPr>
        <w:t>For any work likely to affect any operating process or service, permission must be given by the Senior Line Manager.</w:t>
      </w:r>
    </w:p>
    <w:p>
      <w:pPr>
        <w:pStyle w:val="Normal"/>
        <w:numPr>
          <w:ilvl w:val="1"/>
          <w:numId w:val="38"/>
        </w:numPr>
        <w:spacing w:lineRule="auto" w:line="240" w:before="0" w:after="0"/>
        <w:ind w:left="284" w:hanging="284"/>
        <w:jc w:val="both"/>
        <w:rPr>
          <w:rFonts w:cs="Tahoma"/>
        </w:rPr>
      </w:pPr>
      <w:r>
        <w:rPr>
          <w:rFonts w:cs="Tahoma"/>
        </w:rPr>
        <w:t xml:space="preserve">In addition to a contractor’s own procedure in the event of an accident, a dangerous occurrence, a fire, occupation illness, property loss or damage, the contractor will report this event to </w:t>
      </w:r>
      <w:r>
        <w:rPr>
          <w:color w:val="000000"/>
          <w:sz w:val="24"/>
          <w:szCs w:val="24"/>
        </w:rPr>
        <w:t xml:space="preserve">Togher Boys’ </w:t>
      </w:r>
      <w:r>
        <w:rPr>
          <w:rFonts w:cs="Tahoma"/>
        </w:rPr>
        <w:t>NATIONAL SCHOOL. Where appropriate a copy of the form of notice of accident will be supplied to the Health and Safety Authority.</w:t>
      </w:r>
    </w:p>
    <w:p>
      <w:pPr>
        <w:pStyle w:val="Normal"/>
        <w:spacing w:lineRule="auto" w:line="240" w:before="0" w:after="0"/>
        <w:ind w:left="284" w:hanging="0"/>
        <w:jc w:val="both"/>
        <w:rPr>
          <w:rFonts w:cs="Tahoma"/>
        </w:rPr>
      </w:pPr>
      <w:r>
        <w:rPr>
          <w:rFonts w:cs="Tahoma"/>
        </w:rPr>
      </w:r>
    </w:p>
    <w:p>
      <w:pPr>
        <w:pStyle w:val="Normal"/>
        <w:spacing w:lineRule="auto" w:line="240" w:before="0" w:after="0"/>
        <w:jc w:val="both"/>
        <w:rPr>
          <w:rFonts w:cs="Tahoma"/>
        </w:rPr>
      </w:pPr>
      <w:r>
        <w:rPr>
          <w:rFonts w:cs="Tahoma"/>
        </w:rPr>
        <w:t>Failure to comply with these requests may terminate contracts entered into by the School.</w:t>
      </w:r>
    </w:p>
    <w:p>
      <w:pPr>
        <w:pStyle w:val="Heading2"/>
        <w:spacing w:lineRule="auto" w:line="240"/>
        <w:rPr>
          <w:rFonts w:ascii="Calibri" w:hAnsi="Calibri"/>
        </w:rPr>
      </w:pPr>
      <w:bookmarkStart w:id="56" w:name="_Toc244923600"/>
      <w:bookmarkEnd w:id="56"/>
      <w:r>
        <w:rPr>
          <w:rFonts w:ascii="Calibri" w:hAnsi="Calibri"/>
        </w:rPr>
        <w:t>15.2 Visitors</w:t>
      </w:r>
    </w:p>
    <w:p>
      <w:pPr>
        <w:pStyle w:val="Normal"/>
        <w:spacing w:lineRule="auto" w:line="240"/>
        <w:jc w:val="both"/>
        <w:rPr>
          <w:rFonts w:cs="Tahoma"/>
        </w:rPr>
      </w:pPr>
      <w:r>
        <w:rPr>
          <w:rFonts w:cs="Tahoma"/>
        </w:rPr>
        <w:t>Visitors are obliged to observe the local School Safety Rules. Visitors are obliged to follow any instructions given by School Staff. Visitors should not enter “Restricted” Areas without permission.</w:t>
      </w:r>
    </w:p>
    <w:p>
      <w:pPr>
        <w:pStyle w:val="Heading1"/>
        <w:spacing w:lineRule="auto" w:line="240"/>
        <w:rPr>
          <w:rFonts w:ascii="Calibri" w:hAnsi="Calibri"/>
        </w:rPr>
      </w:pPr>
      <w:bookmarkStart w:id="57" w:name="_Toc244923601"/>
      <w:bookmarkEnd w:id="57"/>
      <w:r>
        <w:rPr>
          <w:rFonts w:ascii="Calibri" w:hAnsi="Calibri"/>
        </w:rPr>
        <w:t>16. Welfare Facilities</w:t>
      </w:r>
    </w:p>
    <w:p>
      <w:pPr>
        <w:pStyle w:val="Normal"/>
        <w:spacing w:before="0" w:after="0"/>
        <w:rPr/>
      </w:pPr>
      <w:r>
        <w:rPr/>
      </w:r>
    </w:p>
    <w:p>
      <w:pPr>
        <w:pStyle w:val="Normal"/>
        <w:spacing w:lineRule="auto" w:line="240" w:before="0" w:after="0"/>
        <w:jc w:val="both"/>
        <w:rPr>
          <w:rFonts w:cs="Tahoma"/>
        </w:rPr>
      </w:pPr>
      <w:r>
        <w:rPr>
          <w:rFonts w:cs="Tahoma"/>
        </w:rPr>
        <w:t>Suitable and sufficient sanitary and washing facilities are available for use by employees. Facilities for washing include hot and cold water as well as liquid soap, (paper) towels or electric hand dryers. Washing facilities will have adequate lighting, sufficiently ventilated and adequately protected, maintained and kept clean.</w:t>
      </w:r>
    </w:p>
    <w:p>
      <w:pPr>
        <w:pStyle w:val="Normal"/>
        <w:spacing w:lineRule="auto" w:line="240" w:before="0" w:after="0"/>
        <w:jc w:val="both"/>
        <w:rPr>
          <w:rFonts w:cs="Tahoma"/>
        </w:rPr>
      </w:pPr>
      <w:r>
        <w:rPr>
          <w:rFonts w:cs="Tahoma"/>
        </w:rPr>
      </w:r>
    </w:p>
    <w:p>
      <w:pPr>
        <w:pStyle w:val="Normal"/>
        <w:spacing w:lineRule="auto" w:line="240"/>
        <w:jc w:val="both"/>
        <w:rPr>
          <w:rFonts w:cs="Tahoma"/>
        </w:rPr>
      </w:pPr>
      <w:r>
        <w:rPr>
          <w:rFonts w:cs="Tahoma"/>
        </w:rPr>
        <w:t>Toilets are provided for both male and female employees. The School will ensure that the toilets are maintained in a clean and hygienic condition to ensure safety to health. Employees are required to maintain a high standard of cleanliness and hygiene in the workplace.</w:t>
      </w:r>
    </w:p>
    <w:p>
      <w:pPr>
        <w:pStyle w:val="Normal"/>
        <w:spacing w:lineRule="auto" w:line="240"/>
        <w:jc w:val="both"/>
        <w:rPr>
          <w:rFonts w:cs="Tahoma"/>
        </w:rPr>
      </w:pPr>
      <w:r>
        <w:rPr>
          <w:rFonts w:cs="Tahoma"/>
        </w:rPr>
        <w:t>The premises will be inspected regularly to ensure that there are no spillages that would make the floors dangerous, and to ensure that the facilities are in working order. A record of such inspections will be kept.</w:t>
      </w:r>
    </w:p>
    <w:p>
      <w:pPr>
        <w:pStyle w:val="Normal"/>
        <w:spacing w:lineRule="auto" w:line="240"/>
        <w:jc w:val="both"/>
        <w:rPr>
          <w:rFonts w:cs="Tahoma"/>
        </w:rPr>
      </w:pPr>
      <w:r>
        <w:rPr>
          <w:rFonts w:cs="Tahoma"/>
        </w:rPr>
        <w:t>Smoking is forbidden throughout the School. Smoking must only take place in this designated area. Eating and drinking: It is strictly forbidden to prepare or consume food in areas other than those designated for this purpose.</w:t>
      </w:r>
    </w:p>
    <w:p>
      <w:pPr>
        <w:pStyle w:val="Normal"/>
        <w:spacing w:lineRule="auto" w:line="240"/>
        <w:jc w:val="both"/>
        <w:rPr>
          <w:rFonts w:cs="Tahoma"/>
        </w:rPr>
      </w:pPr>
      <w:r>
        <w:rPr>
          <w:rFonts w:cs="Tahoma"/>
        </w:rPr>
      </w:r>
    </w:p>
    <w:p>
      <w:pPr>
        <w:pStyle w:val="Heading1"/>
        <w:spacing w:lineRule="auto" w:line="240"/>
        <w:rPr>
          <w:rFonts w:ascii="Calibri" w:hAnsi="Calibri"/>
        </w:rPr>
      </w:pPr>
      <w:bookmarkStart w:id="58" w:name="_Toc244923602"/>
      <w:bookmarkEnd w:id="58"/>
      <w:r>
        <w:rPr>
          <w:rFonts w:ascii="Calibri" w:hAnsi="Calibri"/>
        </w:rPr>
        <w:t>17. The Car park</w:t>
      </w:r>
    </w:p>
    <w:p>
      <w:pPr>
        <w:pStyle w:val="Normal"/>
        <w:spacing w:lineRule="auto" w:line="240" w:before="0" w:after="0"/>
        <w:rPr>
          <w:rFonts w:cs="Tahoma"/>
        </w:rPr>
      </w:pPr>
      <w:r>
        <w:rPr>
          <w:rFonts w:cs="Tahoma"/>
        </w:rPr>
      </w:r>
    </w:p>
    <w:p>
      <w:pPr>
        <w:pStyle w:val="Normal"/>
        <w:spacing w:lineRule="auto" w:line="240" w:before="0" w:after="0"/>
        <w:jc w:val="both"/>
        <w:rPr>
          <w:rFonts w:cs="Tahoma"/>
        </w:rPr>
      </w:pPr>
      <w:r>
        <w:rPr>
          <w:rFonts w:cs="Tahoma"/>
        </w:rPr>
        <w:t>Only staff are allowed to use the School car park.  Parking is prohibited in any area of the car park marked with a yellow box. These yellow boxes are marked to:</w:t>
      </w:r>
    </w:p>
    <w:p>
      <w:pPr>
        <w:pStyle w:val="Normal"/>
        <w:spacing w:lineRule="auto" w:line="240" w:before="0" w:after="0"/>
        <w:jc w:val="both"/>
        <w:rPr>
          <w:rFonts w:cs="Tahoma"/>
        </w:rPr>
      </w:pPr>
      <w:r>
        <w:rPr>
          <w:rFonts w:cs="Tahoma"/>
        </w:rPr>
      </w:r>
    </w:p>
    <w:p>
      <w:pPr>
        <w:pStyle w:val="Normal"/>
        <w:numPr>
          <w:ilvl w:val="1"/>
          <w:numId w:val="39"/>
        </w:numPr>
        <w:spacing w:lineRule="auto" w:line="240" w:before="0" w:after="0"/>
        <w:ind w:left="284" w:hanging="284"/>
        <w:jc w:val="both"/>
        <w:rPr>
          <w:rFonts w:cs="Tahoma"/>
        </w:rPr>
      </w:pPr>
      <w:r>
        <w:rPr>
          <w:rFonts w:cs="Tahoma"/>
        </w:rPr>
        <w:t>Provide access for the Fire Brigade in event of a fire.</w:t>
      </w:r>
    </w:p>
    <w:p>
      <w:pPr>
        <w:pStyle w:val="Normal"/>
        <w:numPr>
          <w:ilvl w:val="1"/>
          <w:numId w:val="39"/>
        </w:numPr>
        <w:spacing w:lineRule="auto" w:line="240" w:before="0" w:after="0"/>
        <w:ind w:left="284" w:hanging="284"/>
        <w:jc w:val="both"/>
        <w:rPr>
          <w:rFonts w:cs="Tahoma"/>
        </w:rPr>
      </w:pPr>
      <w:r>
        <w:rPr>
          <w:rFonts w:cs="Tahoma"/>
        </w:rPr>
        <w:t>Provide exit routes for staff in event of evacuation of the building.</w:t>
      </w:r>
    </w:p>
    <w:p>
      <w:pPr>
        <w:pStyle w:val="Normal"/>
        <w:numPr>
          <w:ilvl w:val="1"/>
          <w:numId w:val="39"/>
        </w:numPr>
        <w:spacing w:lineRule="auto" w:line="240" w:before="0" w:after="0"/>
        <w:ind w:left="284" w:hanging="284"/>
        <w:jc w:val="both"/>
        <w:rPr>
          <w:rFonts w:cs="Tahoma"/>
        </w:rPr>
      </w:pPr>
      <w:r>
        <w:rPr>
          <w:rFonts w:cs="Tahoma"/>
        </w:rPr>
        <w:t>Provide access for suppliers of medical gases.</w:t>
      </w:r>
    </w:p>
    <w:p>
      <w:pPr>
        <w:pStyle w:val="Normal"/>
        <w:numPr>
          <w:ilvl w:val="1"/>
          <w:numId w:val="39"/>
        </w:numPr>
        <w:spacing w:lineRule="auto" w:line="240" w:before="0" w:after="0"/>
        <w:ind w:left="284" w:hanging="284"/>
        <w:jc w:val="both"/>
        <w:rPr>
          <w:rFonts w:cs="Tahoma"/>
        </w:rPr>
      </w:pPr>
      <w:r>
        <w:rPr>
          <w:rFonts w:cs="Tahoma"/>
        </w:rPr>
        <w:t>Provide access for removal of the compactor and clinical waste.</w:t>
      </w:r>
    </w:p>
    <w:p>
      <w:pPr>
        <w:pStyle w:val="Normal"/>
        <w:numPr>
          <w:ilvl w:val="1"/>
          <w:numId w:val="39"/>
        </w:numPr>
        <w:spacing w:lineRule="auto" w:line="240" w:before="0" w:after="0"/>
        <w:ind w:left="284" w:hanging="284"/>
        <w:jc w:val="both"/>
        <w:rPr>
          <w:rFonts w:cs="Tahoma"/>
        </w:rPr>
      </w:pPr>
      <w:r>
        <w:rPr>
          <w:rFonts w:cs="Tahoma"/>
        </w:rPr>
        <w:t>Keep cars at a safe distance from flammable substances and medical gases.</w:t>
      </w:r>
    </w:p>
    <w:p>
      <w:pPr>
        <w:pStyle w:val="Normal"/>
        <w:spacing w:lineRule="auto" w:line="240" w:before="0" w:after="0"/>
        <w:ind w:left="284" w:hanging="0"/>
        <w:jc w:val="both"/>
        <w:rPr>
          <w:rFonts w:cs="Tahoma"/>
        </w:rPr>
      </w:pPr>
      <w:r>
        <w:rPr>
          <w:rFonts w:cs="Tahoma"/>
        </w:rPr>
      </w:r>
    </w:p>
    <w:p>
      <w:pPr>
        <w:pStyle w:val="Normal"/>
        <w:spacing w:lineRule="auto" w:line="240" w:before="0" w:after="0"/>
        <w:jc w:val="both"/>
        <w:rPr>
          <w:rFonts w:cs="Tahoma"/>
        </w:rPr>
      </w:pPr>
      <w:r>
        <w:rPr>
          <w:rFonts w:cs="Tahoma"/>
        </w:rPr>
        <w:t>Yellow box areas will be kept clear at all times to facilitate the above.</w:t>
      </w:r>
    </w:p>
    <w:p>
      <w:pPr>
        <w:pStyle w:val="Normal"/>
        <w:spacing w:lineRule="auto" w:line="240" w:before="0" w:after="0"/>
        <w:ind w:left="284" w:hanging="0"/>
        <w:jc w:val="both"/>
        <w:rPr>
          <w:rFonts w:cs="Tahoma"/>
        </w:rPr>
      </w:pPr>
      <w:r>
        <w:rPr>
          <w:rFonts w:cs="Tahoma"/>
        </w:rPr>
      </w:r>
    </w:p>
    <w:p>
      <w:pPr>
        <w:pStyle w:val="Normal"/>
        <w:spacing w:lineRule="auto" w:line="240" w:before="0" w:after="0"/>
        <w:jc w:val="both"/>
        <w:rPr>
          <w:rFonts w:cs="Tahoma"/>
        </w:rPr>
      </w:pPr>
      <w:r>
        <w:rPr>
          <w:rFonts w:cs="Tahoma"/>
        </w:rPr>
        <w:t>Staff need to exercise extreme caution when walking or driving in the car park or its environs. Drive slowly at 10km/h and give way to pedestrians and other users. Park Safely and show consideration for other users.</w:t>
      </w:r>
    </w:p>
    <w:p>
      <w:pPr>
        <w:pStyle w:val="Heading1"/>
        <w:spacing w:lineRule="auto" w:line="240"/>
        <w:rPr>
          <w:rFonts w:ascii="Calibri" w:hAnsi="Calibri"/>
        </w:rPr>
      </w:pPr>
      <w:bookmarkStart w:id="59" w:name="_Toc244923603"/>
      <w:bookmarkEnd w:id="59"/>
      <w:r>
        <w:rPr>
          <w:rFonts w:ascii="Calibri" w:hAnsi="Calibri"/>
        </w:rPr>
        <w:t>18. First Aid</w:t>
      </w:r>
    </w:p>
    <w:p>
      <w:pPr>
        <w:pStyle w:val="Normal"/>
        <w:spacing w:lineRule="auto" w:line="240" w:before="0" w:after="0"/>
        <w:jc w:val="both"/>
        <w:rPr>
          <w:rFonts w:cs="Tahoma"/>
        </w:rPr>
      </w:pPr>
      <w:r>
        <w:rPr>
          <w:rFonts w:cs="Tahoma"/>
        </w:rPr>
        <w:t xml:space="preserve"> </w:t>
      </w:r>
    </w:p>
    <w:p>
      <w:pPr>
        <w:pStyle w:val="Normal"/>
        <w:spacing w:lineRule="auto" w:line="240" w:before="0" w:after="0"/>
        <w:jc w:val="both"/>
        <w:rPr>
          <w:rFonts w:cs="Tahoma"/>
        </w:rPr>
      </w:pPr>
      <w:r>
        <w:rPr>
          <w:rFonts w:cs="Tahoma"/>
        </w:rPr>
        <w:t>The number of Occupational First Aiders present will correspond to the level needed for the number of workers present at any given time, under the Safety, Health and Welfare at Work Act, General Application Regulations 2007.</w:t>
      </w:r>
    </w:p>
    <w:p>
      <w:pPr>
        <w:pStyle w:val="Normal"/>
        <w:spacing w:lineRule="auto" w:line="240" w:before="0" w:after="0"/>
        <w:jc w:val="both"/>
        <w:rPr>
          <w:rFonts w:cs="Tahoma"/>
        </w:rPr>
      </w:pPr>
      <w:r>
        <w:rPr>
          <w:rFonts w:cs="Tahoma"/>
        </w:rPr>
      </w:r>
    </w:p>
    <w:p>
      <w:pPr>
        <w:pStyle w:val="Normal"/>
        <w:spacing w:lineRule="auto" w:line="240"/>
        <w:jc w:val="both"/>
        <w:rPr>
          <w:rFonts w:cs="Tahoma"/>
        </w:rPr>
      </w:pPr>
      <w:r>
        <w:rPr>
          <w:rFonts w:cs="Tahoma"/>
        </w:rPr>
        <w:t xml:space="preserve">It is the policy of </w:t>
      </w:r>
      <w:r>
        <w:rPr>
          <w:color w:val="000000"/>
          <w:sz w:val="24"/>
          <w:szCs w:val="24"/>
        </w:rPr>
        <w:t xml:space="preserve">Togher Boys’ </w:t>
      </w:r>
      <w:r>
        <w:rPr>
          <w:rFonts w:cs="Tahoma"/>
        </w:rPr>
        <w:t>NATIONAL SCHOOL to locate at least one First Aid Box in each Department/Unit. Employees are responsible for being aware of the location and contents of such boxes. The Department Heads/Unit Heads in charge will delegate responsibility for stocking of the First Aid box. Regular checks will be carried out on the First Aid box and stocks replenished as required.</w:t>
      </w:r>
    </w:p>
    <w:p>
      <w:pPr>
        <w:pStyle w:val="Normal"/>
        <w:spacing w:lineRule="auto" w:line="240"/>
        <w:jc w:val="both"/>
        <w:rPr>
          <w:rFonts w:cs="Tahoma"/>
        </w:rPr>
      </w:pPr>
      <w:r>
        <w:rPr>
          <w:rFonts w:cs="Tahoma"/>
        </w:rPr>
        <w:t>The First Aid Box must be readily accessible to all staff in the Department/Unit. The use of stock must be recorded and signed for by each individual.</w:t>
      </w:r>
    </w:p>
    <w:p>
      <w:pPr>
        <w:pStyle w:val="Heading1"/>
        <w:spacing w:lineRule="auto" w:line="240"/>
        <w:rPr>
          <w:rFonts w:ascii="Calibri" w:hAnsi="Calibri"/>
        </w:rPr>
      </w:pPr>
      <w:bookmarkStart w:id="60" w:name="_Toc244923604"/>
      <w:bookmarkEnd w:id="60"/>
      <w:r>
        <w:rPr>
          <w:rFonts w:ascii="Calibri" w:hAnsi="Calibri"/>
        </w:rPr>
        <w:t>19. Reports and Records of Incidents, Accidents and Dangerous Occurrences</w:t>
      </w:r>
    </w:p>
    <w:p>
      <w:pPr>
        <w:pStyle w:val="Normal"/>
        <w:spacing w:before="0" w:after="0"/>
        <w:rPr/>
      </w:pPr>
      <w:r>
        <w:rPr/>
      </w:r>
    </w:p>
    <w:p>
      <w:pPr>
        <w:pStyle w:val="Normal"/>
        <w:spacing w:lineRule="auto" w:line="240"/>
        <w:jc w:val="both"/>
        <w:rPr>
          <w:rFonts w:cs="Tahoma"/>
        </w:rPr>
      </w:pPr>
      <w:r>
        <w:rPr>
          <w:rFonts w:cs="Tahoma"/>
        </w:rPr>
        <w:t>This section contains samples of and guidance on the reports and records that must be kept for the proper implementation of the Safety, Health and Welfare at Work Act 2005 and the safety management system.</w:t>
      </w:r>
    </w:p>
    <w:p>
      <w:pPr>
        <w:pStyle w:val="Heading2"/>
        <w:spacing w:lineRule="auto" w:line="240"/>
        <w:rPr>
          <w:rFonts w:ascii="Calibri" w:hAnsi="Calibri"/>
        </w:rPr>
      </w:pPr>
      <w:bookmarkStart w:id="61" w:name="_Toc244923605"/>
      <w:bookmarkEnd w:id="61"/>
      <w:r>
        <w:rPr>
          <w:rFonts w:ascii="Calibri" w:hAnsi="Calibri"/>
        </w:rPr>
        <w:t>19.1 Accident/Incident Report form</w:t>
      </w:r>
    </w:p>
    <w:p>
      <w:pPr>
        <w:pStyle w:val="Normal"/>
        <w:spacing w:lineRule="auto" w:line="240"/>
        <w:jc w:val="both"/>
        <w:rPr>
          <w:rFonts w:cs="Tahoma"/>
        </w:rPr>
      </w:pPr>
      <w:r>
        <w:rPr>
          <w:rFonts w:cs="Tahoma"/>
        </w:rPr>
        <w:t xml:space="preserve">All incidents and accidents must be reported on </w:t>
      </w:r>
      <w:r>
        <w:rPr>
          <w:color w:val="000000"/>
          <w:sz w:val="24"/>
          <w:szCs w:val="24"/>
        </w:rPr>
        <w:t xml:space="preserve">Togher Boys’ </w:t>
      </w:r>
      <w:r>
        <w:rPr>
          <w:rFonts w:cs="Tahoma"/>
        </w:rPr>
        <w:t>NATIONAL SCHOOL incident/accident report form.</w:t>
      </w:r>
    </w:p>
    <w:p>
      <w:pPr>
        <w:pStyle w:val="Normal"/>
        <w:spacing w:lineRule="auto" w:line="240"/>
        <w:jc w:val="both"/>
        <w:rPr>
          <w:rFonts w:cs="Tahoma"/>
        </w:rPr>
      </w:pPr>
      <w:r>
        <w:rPr>
          <w:rFonts w:cs="Tahoma"/>
        </w:rPr>
        <w:t>This form must be returned to the Unit Head who will forward the appropriate forms to the appropriate Sector Manager / Programme or Team Leader/ Manager and the Health and Safety Officer.</w:t>
      </w:r>
    </w:p>
    <w:p>
      <w:pPr>
        <w:pStyle w:val="Heading2"/>
        <w:spacing w:lineRule="auto" w:line="240"/>
        <w:rPr>
          <w:rFonts w:ascii="Calibri" w:hAnsi="Calibri"/>
        </w:rPr>
      </w:pPr>
      <w:bookmarkStart w:id="62" w:name="_Toc244923606"/>
      <w:bookmarkEnd w:id="62"/>
      <w:r>
        <w:rPr>
          <w:rFonts w:ascii="Calibri" w:hAnsi="Calibri"/>
        </w:rPr>
        <w:t>19.2 Health &amp; Safety Authority IR1 form</w:t>
      </w:r>
    </w:p>
    <w:p>
      <w:pPr>
        <w:pStyle w:val="Normal"/>
        <w:spacing w:lineRule="auto" w:line="240"/>
        <w:jc w:val="both"/>
        <w:rPr>
          <w:rFonts w:cs="Tahoma"/>
        </w:rPr>
      </w:pPr>
      <w:r>
        <w:rPr>
          <w:rFonts w:cs="Tahoma"/>
        </w:rPr>
        <w:t>The Insurance Administrator will notify the Health &amp; Safety Authority (HSA) using the online version of form IR1 if the work accident prevents the person from working for more than three consecutive days. The Manager must inform the appropriate Sector Manager / Programme or Team Leader/ Manager and the Health &amp; Safety Officer / Insurance Administrator immediately when they are aware of a member of staff that is off work for more than three working days as a result of an occupational accident or ill health.</w:t>
      </w:r>
    </w:p>
    <w:p>
      <w:pPr>
        <w:pStyle w:val="Heading2"/>
        <w:spacing w:lineRule="auto" w:line="240"/>
        <w:rPr>
          <w:rFonts w:ascii="Calibri" w:hAnsi="Calibri"/>
        </w:rPr>
      </w:pPr>
      <w:bookmarkStart w:id="63" w:name="_Toc244923607"/>
      <w:bookmarkEnd w:id="63"/>
      <w:r>
        <w:rPr>
          <w:rFonts w:ascii="Calibri" w:hAnsi="Calibri"/>
        </w:rPr>
        <w:t>19.3 Health &amp; Safety Authority IR3 form</w:t>
      </w:r>
    </w:p>
    <w:p>
      <w:pPr>
        <w:pStyle w:val="Normal"/>
        <w:spacing w:lineRule="auto" w:line="240"/>
        <w:jc w:val="both"/>
        <w:rPr>
          <w:rFonts w:cs="Tahoma"/>
        </w:rPr>
      </w:pPr>
      <w:r>
        <w:rPr>
          <w:rFonts w:cs="Tahoma"/>
        </w:rPr>
        <w:t>The Health and Safety Authority must be informed, using Form IR3, of dangerous occurrences involving lifting machinery, pressure vessels or electrical short–circuit; explosion or fire; escape of substances; collapse of scaffolding, building or structure; unintentional ignition or explosion or an incident involving overhead lines carrying 200 volts or more.</w:t>
      </w:r>
    </w:p>
    <w:p>
      <w:pPr>
        <w:pStyle w:val="Normal"/>
        <w:spacing w:lineRule="auto" w:line="240"/>
        <w:jc w:val="both"/>
        <w:rPr>
          <w:rFonts w:cs="Tahoma"/>
        </w:rPr>
      </w:pPr>
      <w:r>
        <w:rPr>
          <w:rFonts w:cs="Tahoma"/>
        </w:rPr>
        <w:t>All incidents and near misses will be investigated to prevent a re-occurrence from taking place. Where appropriate control measures will be applied to control the situation.</w:t>
      </w:r>
    </w:p>
    <w:p>
      <w:pPr>
        <w:pStyle w:val="Normal"/>
        <w:spacing w:lineRule="auto" w:line="240"/>
        <w:jc w:val="both"/>
        <w:rPr>
          <w:rFonts w:cs="Tahoma"/>
        </w:rPr>
      </w:pPr>
      <w:r>
        <w:rPr>
          <w:rFonts w:cs="Tahoma"/>
        </w:rPr>
        <w:t>All employees are obliged to co-operate with the accident reporting system and to provide any information, which may be useful in establishing the circumstances surrounding an accident.</w:t>
      </w:r>
    </w:p>
    <w:p>
      <w:pPr>
        <w:pStyle w:val="Normal"/>
        <w:spacing w:lineRule="auto" w:line="240"/>
        <w:jc w:val="both"/>
        <w:rPr>
          <w:rFonts w:cs="Tahoma"/>
        </w:rPr>
      </w:pPr>
      <w:r>
        <w:rPr>
          <w:rFonts w:cs="Tahoma"/>
        </w:rPr>
        <w:t>Accidents and incidents are reported:</w:t>
      </w:r>
    </w:p>
    <w:p>
      <w:pPr>
        <w:pStyle w:val="Normal"/>
        <w:numPr>
          <w:ilvl w:val="1"/>
          <w:numId w:val="40"/>
        </w:numPr>
        <w:spacing w:lineRule="auto" w:line="240" w:before="0" w:after="0"/>
        <w:ind w:left="284" w:hanging="284"/>
        <w:jc w:val="both"/>
        <w:rPr>
          <w:rFonts w:cs="Tahoma"/>
        </w:rPr>
      </w:pPr>
      <w:r>
        <w:rPr>
          <w:rFonts w:cs="Tahoma"/>
        </w:rPr>
        <w:t>To ensure that proper medical attention is provided;</w:t>
      </w:r>
    </w:p>
    <w:p>
      <w:pPr>
        <w:pStyle w:val="Normal"/>
        <w:numPr>
          <w:ilvl w:val="1"/>
          <w:numId w:val="40"/>
        </w:numPr>
        <w:spacing w:lineRule="auto" w:line="240" w:before="0" w:after="0"/>
        <w:ind w:left="284" w:hanging="284"/>
        <w:jc w:val="both"/>
        <w:rPr>
          <w:rFonts w:cs="Tahoma"/>
        </w:rPr>
      </w:pPr>
      <w:r>
        <w:rPr>
          <w:rFonts w:cs="Tahoma"/>
        </w:rPr>
        <w:t>To let the Head of Department / Unit Manager know that something went wrong in the performance of a task;</w:t>
      </w:r>
    </w:p>
    <w:p>
      <w:pPr>
        <w:pStyle w:val="Normal"/>
        <w:numPr>
          <w:ilvl w:val="1"/>
          <w:numId w:val="40"/>
        </w:numPr>
        <w:spacing w:lineRule="auto" w:line="240" w:before="0" w:after="0"/>
        <w:ind w:left="284" w:hanging="284"/>
        <w:jc w:val="both"/>
        <w:rPr>
          <w:rFonts w:cs="Tahoma"/>
        </w:rPr>
      </w:pPr>
      <w:r>
        <w:rPr>
          <w:rFonts w:cs="Tahoma"/>
        </w:rPr>
        <w:t>To provide data for study and</w:t>
      </w:r>
    </w:p>
    <w:p>
      <w:pPr>
        <w:pStyle w:val="Normal"/>
        <w:numPr>
          <w:ilvl w:val="1"/>
          <w:numId w:val="40"/>
        </w:numPr>
        <w:spacing w:lineRule="auto" w:line="240" w:before="0" w:after="0"/>
        <w:ind w:left="284" w:hanging="284"/>
        <w:jc w:val="both"/>
        <w:rPr>
          <w:rFonts w:cs="Tahoma"/>
        </w:rPr>
      </w:pPr>
      <w:r>
        <w:rPr>
          <w:rFonts w:cs="Tahoma"/>
        </w:rPr>
        <w:t>To enable the School to meet its legal obligations.</w:t>
      </w:r>
    </w:p>
    <w:p>
      <w:pPr>
        <w:pStyle w:val="Normal"/>
        <w:spacing w:lineRule="auto" w:line="240" w:before="0" w:after="0"/>
        <w:ind w:left="284" w:hanging="0"/>
        <w:jc w:val="both"/>
        <w:rPr>
          <w:rFonts w:cs="Tahoma"/>
        </w:rPr>
      </w:pPr>
      <w:r>
        <w:rPr>
          <w:rFonts w:cs="Tahoma"/>
        </w:rPr>
      </w:r>
    </w:p>
    <w:p>
      <w:pPr>
        <w:pStyle w:val="Normal"/>
        <w:spacing w:lineRule="auto" w:line="240" w:before="0" w:after="0"/>
        <w:jc w:val="both"/>
        <w:rPr>
          <w:rFonts w:cs="Tahoma"/>
          <w:b/>
          <w:b/>
          <w:color w:val="FF0000"/>
        </w:rPr>
      </w:pPr>
      <w:r>
        <w:rPr>
          <w:rFonts w:cs="Tahoma"/>
          <w:b/>
          <w:color w:val="FF0000"/>
        </w:rPr>
        <w:t>All incidents and near misses must be reported.</w:t>
      </w:r>
    </w:p>
    <w:p>
      <w:pPr>
        <w:pStyle w:val="Heading2"/>
        <w:spacing w:lineRule="auto" w:line="240"/>
        <w:rPr>
          <w:rFonts w:ascii="Calibri" w:hAnsi="Calibri"/>
        </w:rPr>
      </w:pPr>
      <w:bookmarkStart w:id="64" w:name="_Toc244923608"/>
      <w:bookmarkEnd w:id="64"/>
      <w:r>
        <w:rPr>
          <w:rFonts w:ascii="Calibri" w:hAnsi="Calibri"/>
        </w:rPr>
        <w:t>19.4 Hazard &amp; Risk Assessment Work Sheets</w:t>
      </w:r>
    </w:p>
    <w:p>
      <w:pPr>
        <w:pStyle w:val="Normal"/>
        <w:spacing w:lineRule="auto" w:line="240"/>
        <w:jc w:val="both"/>
        <w:rPr>
          <w:rFonts w:cs="Tahoma"/>
        </w:rPr>
      </w:pPr>
      <w:r>
        <w:rPr>
          <w:rFonts w:cs="Tahoma"/>
        </w:rPr>
        <w:t>Hazard and risk assessment is used to document existing hazards in sections / areas of the School.</w:t>
      </w:r>
    </w:p>
    <w:p>
      <w:pPr>
        <w:pStyle w:val="Heading1"/>
        <w:spacing w:lineRule="auto" w:line="240"/>
        <w:rPr>
          <w:rFonts w:ascii="Calibri" w:hAnsi="Calibri"/>
        </w:rPr>
      </w:pPr>
      <w:bookmarkStart w:id="65" w:name="_Toc244923609"/>
      <w:bookmarkEnd w:id="65"/>
      <w:r>
        <w:rPr>
          <w:rFonts w:ascii="Calibri" w:hAnsi="Calibri"/>
        </w:rPr>
        <w:t>20. Training</w:t>
      </w:r>
    </w:p>
    <w:p>
      <w:pPr>
        <w:pStyle w:val="Normal"/>
        <w:spacing w:before="0" w:after="0"/>
        <w:rPr/>
      </w:pPr>
      <w:r>
        <w:rPr/>
      </w:r>
    </w:p>
    <w:p>
      <w:pPr>
        <w:pStyle w:val="Normal"/>
        <w:spacing w:lineRule="auto" w:line="240"/>
        <w:jc w:val="both"/>
        <w:rPr>
          <w:rFonts w:cs="Tahoma"/>
        </w:rPr>
      </w:pPr>
      <w:r>
        <w:rPr>
          <w:rFonts w:cs="Tahoma"/>
        </w:rPr>
        <w:t>This section deals with the training that is necessary for staff to operate safely within the environment in which they are employed. The training provided would be in addition to the certified qualifications that employees had when they acquired their positions.</w:t>
      </w:r>
    </w:p>
    <w:p>
      <w:pPr>
        <w:pStyle w:val="Normal"/>
        <w:spacing w:lineRule="auto" w:line="240"/>
        <w:jc w:val="both"/>
        <w:rPr>
          <w:rFonts w:cs="Tahoma"/>
        </w:rPr>
      </w:pPr>
      <w:r>
        <w:rPr>
          <w:rFonts w:cs="Tahoma"/>
        </w:rPr>
        <w:t>The training provided will be with a view to maintaining the safety, health and welfare of the employees and not to provide additional qualifications and are mandatory on all staff designated as requiring such training.</w:t>
      </w:r>
    </w:p>
    <w:p>
      <w:pPr>
        <w:pStyle w:val="Normal"/>
        <w:spacing w:lineRule="auto" w:line="240"/>
        <w:jc w:val="both"/>
        <w:rPr>
          <w:rFonts w:cs="Tahoma"/>
        </w:rPr>
      </w:pPr>
      <w:r>
        <w:rPr>
          <w:color w:val="000000"/>
          <w:sz w:val="24"/>
          <w:szCs w:val="24"/>
        </w:rPr>
        <w:t xml:space="preserve">Togher Boys’ </w:t>
      </w:r>
      <w:r>
        <w:rPr>
          <w:rFonts w:cs="Tahoma"/>
        </w:rPr>
        <w:t>NATIONAL SCHOOL recognises that training is an important element for all staff.</w:t>
      </w:r>
    </w:p>
    <w:p>
      <w:pPr>
        <w:pStyle w:val="Normal"/>
        <w:spacing w:lineRule="auto" w:line="240"/>
        <w:jc w:val="both"/>
        <w:rPr>
          <w:rFonts w:cs="Tahoma"/>
        </w:rPr>
      </w:pPr>
      <w:r>
        <w:rPr>
          <w:rFonts w:cs="Tahoma"/>
        </w:rPr>
        <w:t xml:space="preserve">Training is essential to deliver safety procedures. There is a firm commitment in </w:t>
      </w:r>
      <w:r>
        <w:rPr>
          <w:color w:val="000000"/>
          <w:sz w:val="24"/>
          <w:szCs w:val="24"/>
        </w:rPr>
        <w:t xml:space="preserve">Togher Boys’ </w:t>
      </w:r>
      <w:r>
        <w:rPr>
          <w:rFonts w:cs="Tahoma"/>
        </w:rPr>
        <w:t>NATIONAL SCHOOL to identify safety training needs and to take steps to have such training provided. No person should attempt potentially dangerous tasks without proper safety training and instruction.</w:t>
      </w:r>
    </w:p>
    <w:p>
      <w:pPr>
        <w:pStyle w:val="Normal"/>
        <w:spacing w:lineRule="auto" w:line="240"/>
        <w:jc w:val="both"/>
        <w:rPr>
          <w:rFonts w:cs="Tahoma"/>
        </w:rPr>
      </w:pPr>
      <w:r>
        <w:rPr>
          <w:rFonts w:cs="Tahoma"/>
        </w:rPr>
        <w:t>Records of all training will be kept in a training file with a signed register for all persons who have received such training. Managers will maintain records for their staff. The Training Department has control of all training records</w:t>
      </w:r>
    </w:p>
    <w:p>
      <w:pPr>
        <w:pStyle w:val="Heading2"/>
        <w:spacing w:lineRule="auto" w:line="240"/>
        <w:rPr>
          <w:rFonts w:ascii="Calibri" w:hAnsi="Calibri"/>
        </w:rPr>
      </w:pPr>
      <w:bookmarkStart w:id="66" w:name="_Toc244923610"/>
      <w:bookmarkEnd w:id="66"/>
      <w:r>
        <w:rPr>
          <w:rFonts w:ascii="Calibri" w:hAnsi="Calibri"/>
        </w:rPr>
        <w:t>20.1 Induction Training</w:t>
      </w:r>
    </w:p>
    <w:p>
      <w:pPr>
        <w:pStyle w:val="Normal"/>
        <w:spacing w:lineRule="auto" w:line="240"/>
        <w:jc w:val="both"/>
        <w:rPr>
          <w:rFonts w:cs="Tahoma"/>
        </w:rPr>
      </w:pPr>
      <w:r>
        <w:rPr>
          <w:rFonts w:cs="Tahoma"/>
        </w:rPr>
        <w:t xml:space="preserve">  </w:t>
      </w:r>
    </w:p>
    <w:p>
      <w:pPr>
        <w:pStyle w:val="Normal"/>
        <w:spacing w:lineRule="auto" w:line="240"/>
        <w:jc w:val="both"/>
        <w:rPr>
          <w:rFonts w:cs="Tahoma"/>
        </w:rPr>
      </w:pPr>
      <w:r>
        <w:rPr>
          <w:rFonts w:cs="Tahoma"/>
        </w:rPr>
        <w:t>Induction training will be given to all staff members. Information such as the Services Safety Policy, Safety Statements and Health and Safety procedures will be provided for all staff members.</w:t>
      </w:r>
    </w:p>
    <w:p>
      <w:pPr>
        <w:pStyle w:val="Normal"/>
        <w:spacing w:lineRule="auto" w:line="240"/>
        <w:jc w:val="both"/>
        <w:rPr>
          <w:rFonts w:cs="Tahoma"/>
        </w:rPr>
      </w:pPr>
      <w:r>
        <w:rPr>
          <w:rFonts w:cs="Tahoma"/>
        </w:rPr>
        <w:t>Rights and responsibilities under the Safety, Health &amp; Welfare at Work Act 2005, will be explained to all staff in a controlled and documented manner. Health and Safety Hazards and procedures will be delivered to all staff depending on their specific areas.</w:t>
      </w:r>
    </w:p>
    <w:p>
      <w:pPr>
        <w:pStyle w:val="Normal"/>
        <w:spacing w:lineRule="auto" w:line="240"/>
        <w:jc w:val="both"/>
        <w:rPr>
          <w:rFonts w:cs="Tahoma"/>
        </w:rPr>
      </w:pPr>
      <w:r>
        <w:rPr>
          <w:rFonts w:cs="Tahoma"/>
        </w:rPr>
        <w:t>Information will be delivered at the induction training such as what to do in the event of emergencies, what to do in the event of an accident or a medical condition, information on equipment, machinery and work processes, chemicals and personal protective equipment will be discussed.</w:t>
      </w:r>
    </w:p>
    <w:p>
      <w:pPr>
        <w:pStyle w:val="Heading2"/>
        <w:spacing w:lineRule="auto" w:line="240"/>
        <w:rPr>
          <w:rFonts w:ascii="Calibri" w:hAnsi="Calibri"/>
        </w:rPr>
      </w:pPr>
      <w:bookmarkStart w:id="67" w:name="_Toc244923611"/>
      <w:bookmarkEnd w:id="67"/>
      <w:r>
        <w:rPr>
          <w:rFonts w:ascii="Calibri" w:hAnsi="Calibri"/>
        </w:rPr>
        <w:t>20.2 General Training</w:t>
      </w:r>
    </w:p>
    <w:p>
      <w:pPr>
        <w:pStyle w:val="Normal"/>
        <w:spacing w:lineRule="auto" w:line="240"/>
        <w:jc w:val="both"/>
        <w:rPr>
          <w:rFonts w:cs="Tahoma"/>
        </w:rPr>
      </w:pPr>
      <w:r>
        <w:rPr>
          <w:rFonts w:cs="Tahoma"/>
        </w:rPr>
        <w:t>The appropriate Department Head within the area in which the staff member will be working may give general training to new staff members. Training will be given on how to carry out the tasks correctly and safely.</w:t>
      </w:r>
    </w:p>
    <w:p>
      <w:pPr>
        <w:pStyle w:val="Heading2"/>
        <w:spacing w:lineRule="auto" w:line="240"/>
        <w:rPr>
          <w:rFonts w:ascii="Calibri" w:hAnsi="Calibri"/>
        </w:rPr>
      </w:pPr>
      <w:bookmarkStart w:id="68" w:name="_Toc244923612"/>
      <w:bookmarkEnd w:id="68"/>
      <w:r>
        <w:rPr>
          <w:rFonts w:ascii="Calibri" w:hAnsi="Calibri"/>
        </w:rPr>
        <w:t>20.3 Fire Safety Training</w:t>
      </w:r>
    </w:p>
    <w:p>
      <w:pPr>
        <w:pStyle w:val="Normal"/>
        <w:spacing w:lineRule="auto" w:line="240"/>
        <w:jc w:val="both"/>
        <w:rPr>
          <w:rFonts w:cs="Tahoma"/>
        </w:rPr>
      </w:pPr>
      <w:r>
        <w:rPr>
          <w:rFonts w:cs="Tahoma"/>
        </w:rPr>
        <w:t>The School will hold an induction course for all staff setting out the correct procedures to be followed in the event of fire including what to do on hearing the fire alarm and what to do on discovery of a fire.</w:t>
      </w:r>
    </w:p>
    <w:p>
      <w:pPr>
        <w:pStyle w:val="Normal"/>
        <w:spacing w:lineRule="auto" w:line="240"/>
        <w:jc w:val="both"/>
        <w:rPr>
          <w:rFonts w:cs="Tahoma"/>
        </w:rPr>
      </w:pPr>
      <w:r>
        <w:rPr>
          <w:rFonts w:cs="Tahoma"/>
        </w:rPr>
        <w:t>Regular fire training for all staff is a requirement. Attendance at fire lectures is mandatory. Staff will be provided with a basic knowledge of fire and practical experience in the use of fire extinguishers.</w:t>
      </w:r>
    </w:p>
    <w:p>
      <w:pPr>
        <w:pStyle w:val="Heading2"/>
        <w:spacing w:lineRule="auto" w:line="240"/>
        <w:rPr>
          <w:rFonts w:ascii="Calibri" w:hAnsi="Calibri"/>
        </w:rPr>
      </w:pPr>
      <w:bookmarkStart w:id="69" w:name="_Toc244923613"/>
      <w:bookmarkEnd w:id="69"/>
      <w:r>
        <w:rPr>
          <w:rFonts w:ascii="Calibri" w:hAnsi="Calibri"/>
        </w:rPr>
        <w:t>20.4 Manual Handling Training</w:t>
      </w:r>
    </w:p>
    <w:p>
      <w:pPr>
        <w:pStyle w:val="Normal"/>
        <w:spacing w:lineRule="auto" w:line="240"/>
        <w:jc w:val="both"/>
        <w:rPr>
          <w:rFonts w:cs="Tahoma"/>
        </w:rPr>
      </w:pPr>
      <w:r>
        <w:rPr>
          <w:rFonts w:cs="Tahoma"/>
        </w:rPr>
        <w:t>All employees will attend a course in manual handling carried out by a Competent Manual Handling Instructor. Employees will attend a refresher course every three years. Manual handling will consist of the box manual handling and where relevant service user lifting handling. The employee will participate in the appropriate course for his/her place of work. It will be the duty of the School to try to avoid manual handling where possible and to use appropriate manual handling aids and mechanical equipment.</w:t>
      </w:r>
    </w:p>
    <w:p>
      <w:pPr>
        <w:pStyle w:val="Heading2"/>
        <w:spacing w:lineRule="auto" w:line="240"/>
        <w:rPr>
          <w:rFonts w:ascii="Calibri" w:hAnsi="Calibri"/>
          <w:szCs w:val="22"/>
        </w:rPr>
      </w:pPr>
      <w:bookmarkStart w:id="70" w:name="_Toc244923614"/>
      <w:bookmarkEnd w:id="70"/>
      <w:r>
        <w:rPr>
          <w:rFonts w:ascii="Calibri" w:hAnsi="Calibri"/>
          <w:szCs w:val="22"/>
        </w:rPr>
        <w:t>20.5 Principals of safer handling</w:t>
      </w:r>
    </w:p>
    <w:p>
      <w:pPr>
        <w:pStyle w:val="Normal"/>
        <w:spacing w:lineRule="auto" w:line="240"/>
        <w:rPr>
          <w:rFonts w:cs="Tahoma"/>
        </w:rPr>
      </w:pPr>
      <w:r>
        <w:rPr>
          <w:rFonts w:cs="Tahoma"/>
        </w:rPr>
      </w:r>
    </w:p>
    <w:p>
      <w:pPr>
        <w:pStyle w:val="Normal"/>
        <w:numPr>
          <w:ilvl w:val="0"/>
          <w:numId w:val="5"/>
        </w:numPr>
        <w:spacing w:lineRule="auto" w:line="240" w:before="0" w:after="0"/>
        <w:ind w:left="284" w:hanging="284"/>
        <w:jc w:val="both"/>
        <w:rPr>
          <w:rFonts w:cs="Tahoma"/>
        </w:rPr>
      </w:pPr>
      <w:r>
        <w:rPr>
          <w:rFonts w:cs="Tahoma"/>
        </w:rPr>
        <w:t>Think before you lift (TILE)</w:t>
      </w:r>
    </w:p>
    <w:p>
      <w:pPr>
        <w:pStyle w:val="Normal"/>
        <w:numPr>
          <w:ilvl w:val="0"/>
          <w:numId w:val="5"/>
        </w:numPr>
        <w:spacing w:lineRule="auto" w:line="240" w:before="0" w:after="0"/>
        <w:ind w:left="284" w:hanging="284"/>
        <w:jc w:val="both"/>
        <w:rPr>
          <w:rFonts w:cs="Tahoma"/>
        </w:rPr>
      </w:pPr>
      <w:r>
        <w:rPr>
          <w:rFonts w:cs="Tahoma"/>
        </w:rPr>
        <w:t>Don’t lift or handle more than you can easily manage</w:t>
      </w:r>
    </w:p>
    <w:p>
      <w:pPr>
        <w:pStyle w:val="Normal"/>
        <w:numPr>
          <w:ilvl w:val="0"/>
          <w:numId w:val="5"/>
        </w:numPr>
        <w:spacing w:lineRule="auto" w:line="240" w:before="0" w:after="0"/>
        <w:ind w:left="284" w:hanging="284"/>
        <w:jc w:val="both"/>
        <w:rPr>
          <w:rFonts w:cs="Tahoma"/>
        </w:rPr>
      </w:pPr>
      <w:r>
        <w:rPr>
          <w:rFonts w:cs="Tahoma"/>
        </w:rPr>
        <w:t>Adopt a stable position</w:t>
      </w:r>
    </w:p>
    <w:p>
      <w:pPr>
        <w:pStyle w:val="Normal"/>
        <w:numPr>
          <w:ilvl w:val="0"/>
          <w:numId w:val="5"/>
        </w:numPr>
        <w:spacing w:lineRule="auto" w:line="240" w:before="0" w:after="0"/>
        <w:ind w:left="284" w:hanging="284"/>
        <w:jc w:val="both"/>
        <w:rPr>
          <w:rFonts w:cs="Tahoma"/>
        </w:rPr>
      </w:pPr>
      <w:r>
        <w:rPr>
          <w:rFonts w:cs="Tahoma"/>
        </w:rPr>
        <w:t>Ensure a good hold on the load</w:t>
      </w:r>
    </w:p>
    <w:p>
      <w:pPr>
        <w:pStyle w:val="Normal"/>
        <w:numPr>
          <w:ilvl w:val="0"/>
          <w:numId w:val="5"/>
        </w:numPr>
        <w:tabs>
          <w:tab w:val="left" w:pos="284" w:leader="none"/>
        </w:tabs>
        <w:spacing w:lineRule="auto" w:line="240" w:before="0" w:after="0"/>
        <w:ind w:left="284" w:hanging="284"/>
        <w:jc w:val="both"/>
        <w:rPr>
          <w:rFonts w:cs="Tahoma"/>
        </w:rPr>
      </w:pPr>
      <w:r>
        <w:rPr>
          <w:rFonts w:cs="Tahoma"/>
        </w:rPr>
        <w:t>At the start of the lift, moderate flexion (slight bending) of the back, hips and knees is preferable to fully flexing the back (stooping), hips and knees (squatting)</w:t>
      </w:r>
    </w:p>
    <w:p>
      <w:pPr>
        <w:pStyle w:val="Normal"/>
        <w:numPr>
          <w:ilvl w:val="0"/>
          <w:numId w:val="5"/>
        </w:numPr>
        <w:spacing w:lineRule="auto" w:line="240" w:before="0" w:after="0"/>
        <w:ind w:left="284" w:hanging="284"/>
        <w:jc w:val="both"/>
        <w:rPr>
          <w:rFonts w:cs="Tahoma"/>
        </w:rPr>
      </w:pPr>
      <w:r>
        <w:rPr>
          <w:rFonts w:cs="Tahoma"/>
        </w:rPr>
        <w:t>Keep the load close to your waist</w:t>
      </w:r>
    </w:p>
    <w:p>
      <w:pPr>
        <w:pStyle w:val="Normal"/>
        <w:numPr>
          <w:ilvl w:val="0"/>
          <w:numId w:val="5"/>
        </w:numPr>
        <w:spacing w:lineRule="auto" w:line="240" w:before="0" w:after="0"/>
        <w:ind w:left="284" w:hanging="284"/>
        <w:jc w:val="both"/>
        <w:rPr>
          <w:rFonts w:cs="Tahoma"/>
        </w:rPr>
      </w:pPr>
      <w:r>
        <w:rPr>
          <w:rFonts w:cs="Tahoma"/>
        </w:rPr>
        <w:t>Don’t flex the spine any further as you lift</w:t>
      </w:r>
    </w:p>
    <w:p>
      <w:pPr>
        <w:pStyle w:val="Normal"/>
        <w:numPr>
          <w:ilvl w:val="0"/>
          <w:numId w:val="5"/>
        </w:numPr>
        <w:spacing w:lineRule="auto" w:line="240" w:before="0" w:after="0"/>
        <w:ind w:left="284" w:hanging="284"/>
        <w:jc w:val="both"/>
        <w:rPr>
          <w:rFonts w:cs="Tahoma"/>
        </w:rPr>
      </w:pPr>
      <w:r>
        <w:rPr>
          <w:rFonts w:cs="Tahoma"/>
        </w:rPr>
        <w:t>Avoid twisting the trunk or leaning sideways, especially while the back  is bent</w:t>
      </w:r>
    </w:p>
    <w:p>
      <w:pPr>
        <w:pStyle w:val="Normal"/>
        <w:numPr>
          <w:ilvl w:val="0"/>
          <w:numId w:val="5"/>
        </w:numPr>
        <w:spacing w:lineRule="auto" w:line="240" w:before="0" w:after="0"/>
        <w:ind w:left="284" w:hanging="284"/>
        <w:jc w:val="both"/>
        <w:rPr>
          <w:rFonts w:cs="Tahoma"/>
        </w:rPr>
      </w:pPr>
      <w:r>
        <w:rPr>
          <w:rFonts w:cs="Tahoma"/>
        </w:rPr>
        <w:t>Keep your head up when handling</w:t>
      </w:r>
    </w:p>
    <w:p>
      <w:pPr>
        <w:pStyle w:val="Normal"/>
        <w:numPr>
          <w:ilvl w:val="0"/>
          <w:numId w:val="5"/>
        </w:numPr>
        <w:spacing w:lineRule="auto" w:line="240" w:before="0" w:after="0"/>
        <w:ind w:left="284" w:hanging="284"/>
        <w:jc w:val="both"/>
        <w:rPr>
          <w:rFonts w:cs="Tahoma"/>
        </w:rPr>
      </w:pPr>
      <w:r>
        <w:rPr>
          <w:rFonts w:cs="Tahoma"/>
        </w:rPr>
        <w:t>Move smoothly</w:t>
      </w:r>
    </w:p>
    <w:p>
      <w:pPr>
        <w:pStyle w:val="Normal"/>
        <w:numPr>
          <w:ilvl w:val="0"/>
          <w:numId w:val="5"/>
        </w:numPr>
        <w:spacing w:lineRule="auto" w:line="240" w:before="0" w:after="0"/>
        <w:ind w:left="284" w:hanging="284"/>
        <w:jc w:val="both"/>
        <w:rPr>
          <w:rFonts w:cs="Tahoma"/>
        </w:rPr>
      </w:pPr>
      <w:r>
        <w:rPr>
          <w:rFonts w:cs="Tahoma"/>
        </w:rPr>
        <w:t xml:space="preserve">Put down, then adjust </w:t>
      </w:r>
    </w:p>
    <w:p>
      <w:pPr>
        <w:pStyle w:val="Heading1"/>
        <w:spacing w:lineRule="auto" w:line="240"/>
        <w:rPr>
          <w:rFonts w:ascii="Calibri" w:hAnsi="Calibri"/>
        </w:rPr>
      </w:pPr>
      <w:bookmarkStart w:id="71" w:name="_Toc244923615"/>
      <w:bookmarkEnd w:id="71"/>
      <w:r>
        <w:rPr>
          <w:rFonts w:ascii="Calibri" w:hAnsi="Calibri"/>
        </w:rPr>
        <w:t>21. Resources</w:t>
      </w:r>
    </w:p>
    <w:p>
      <w:pPr>
        <w:pStyle w:val="Normal"/>
        <w:spacing w:lineRule="auto" w:line="240"/>
        <w:jc w:val="both"/>
        <w:rPr>
          <w:rFonts w:cs="Tahoma"/>
        </w:rPr>
      </w:pPr>
      <w:r>
        <w:rPr>
          <w:color w:val="000000"/>
          <w:sz w:val="24"/>
          <w:szCs w:val="24"/>
        </w:rPr>
        <w:t xml:space="preserve">Togher Boys’ </w:t>
      </w:r>
      <w:r>
        <w:rPr>
          <w:rFonts w:cs="Tahoma"/>
        </w:rPr>
        <w:t>NATIONAL SCHOOL will provide resources in respect of implementation of the safety management programme. Resources in terms of finance, time and information will be made available, if possible to implement the terms of the Safety Statement.</w:t>
      </w:r>
    </w:p>
    <w:p>
      <w:pPr>
        <w:pStyle w:val="Normal"/>
        <w:spacing w:lineRule="auto" w:line="240"/>
        <w:jc w:val="both"/>
        <w:rPr>
          <w:rFonts w:cs="Tahoma"/>
        </w:rPr>
      </w:pPr>
      <w:r>
        <w:rPr>
          <w:rFonts w:cs="Tahoma"/>
        </w:rPr>
        <w:t>The Health &amp; Safety Officer will ensure sufficient time is invested by the School to ensure full comprehension and compliance of all staff in the School with the contents of the Safety Statement.</w:t>
      </w:r>
    </w:p>
    <w:p>
      <w:pPr>
        <w:pStyle w:val="Normal"/>
        <w:spacing w:lineRule="auto" w:line="240"/>
        <w:jc w:val="both"/>
        <w:rPr>
          <w:rFonts w:cs="Tahoma"/>
        </w:rPr>
      </w:pPr>
      <w:r>
        <w:rPr>
          <w:rFonts w:cs="Tahoma"/>
        </w:rPr>
        <w:t xml:space="preserve">Sufficient time and staff meetings will be ensured so that enough time is invested by </w:t>
      </w:r>
      <w:r>
        <w:rPr>
          <w:color w:val="000000"/>
          <w:sz w:val="24"/>
          <w:szCs w:val="24"/>
        </w:rPr>
        <w:t xml:space="preserve">Togher Boys’ </w:t>
      </w:r>
      <w:r>
        <w:rPr>
          <w:rFonts w:cs="Tahoma"/>
        </w:rPr>
        <w:t>NATIONAL SCHOOL in dealing with all health and safety matters.</w:t>
      </w:r>
    </w:p>
    <w:p>
      <w:pPr>
        <w:pStyle w:val="Normal"/>
        <w:spacing w:lineRule="auto" w:line="240"/>
        <w:jc w:val="both"/>
        <w:rPr>
          <w:rFonts w:cs="Tahoma"/>
        </w:rPr>
      </w:pPr>
      <w:r>
        <w:rPr>
          <w:rFonts w:cs="Tahoma"/>
        </w:rPr>
        <w:t>Resources will include financial resources, resources for training programmes, time and staff resources materials, plant, equipment and Expertise.</w:t>
      </w:r>
    </w:p>
    <w:p>
      <w:pPr>
        <w:pStyle w:val="Normal"/>
        <w:spacing w:lineRule="auto" w:line="240"/>
        <w:jc w:val="both"/>
        <w:rPr>
          <w:rFonts w:cs="Tahoma"/>
        </w:rPr>
      </w:pPr>
      <w:r>
        <w:rPr>
          <w:rFonts w:cs="Tahoma"/>
        </w:rPr>
        <w:t>Finance available will be used for training programmes such as induction training, fire safety training, manual handling, for the provision of personal protective equipment and VDU testing for all staff. Finance will also be available if reasonably practicable for the purchase and maintenance of plant and equipment, to protect the safety and health of all workers.</w:t>
      </w:r>
    </w:p>
    <w:p>
      <w:pPr>
        <w:pStyle w:val="Normal"/>
        <w:spacing w:lineRule="auto" w:line="240"/>
        <w:jc w:val="both"/>
        <w:rPr>
          <w:rFonts w:cs="Tahoma"/>
        </w:rPr>
      </w:pPr>
      <w:r>
        <w:rPr>
          <w:rFonts w:cs="Tahoma"/>
        </w:rPr>
        <w:t>Sufficient documentation will be available to all the work force in relation to all aspects of health and safety in relation to their work place and procedures.</w:t>
      </w:r>
    </w:p>
    <w:p>
      <w:pPr>
        <w:pStyle w:val="Normal"/>
        <w:spacing w:lineRule="auto" w:line="240"/>
        <w:jc w:val="both"/>
        <w:rPr>
          <w:rFonts w:cs="Tahoma"/>
        </w:rPr>
      </w:pPr>
      <w:r>
        <w:rPr>
          <w:rFonts w:cs="Tahoma"/>
        </w:rPr>
        <w:t>All employees will have access to correct and up-to-date health and safety documents or data. Procedures for controlling all documents required by the Health and Safety Management system will ensure that health and safety documents are readily accessible, that health and safety documents are periodically reviewed, revised if necessary and approved for adequacy by authorised personnel.</w:t>
      </w:r>
    </w:p>
    <w:p>
      <w:pPr>
        <w:pStyle w:val="Normal"/>
        <w:spacing w:lineRule="auto" w:line="240"/>
        <w:jc w:val="both"/>
        <w:rPr>
          <w:rFonts w:cs="Tahoma"/>
        </w:rPr>
      </w:pPr>
      <w:r>
        <w:rPr>
          <w:rFonts w:cs="Tahoma"/>
        </w:rPr>
        <w:t xml:space="preserve">The current versions of relevant documents will be available at all locations where operations essential to the effective function of the system are carried out. Documents or records are required to be retained by law, and will be kept up-to-date and available for inspection.  </w:t>
      </w:r>
    </w:p>
    <w:p>
      <w:pPr>
        <w:pStyle w:val="Normal"/>
        <w:spacing w:lineRule="auto" w:line="240"/>
        <w:jc w:val="both"/>
        <w:rPr>
          <w:rFonts w:cs="Tahoma"/>
        </w:rPr>
      </w:pPr>
      <w:r>
        <w:rPr>
          <w:rFonts w:cs="Tahoma"/>
        </w:rPr>
        <w:t xml:space="preserve">Technical manuals on operational instructions will be available for equipment. Material Safety Data Sheets will also be available for all chemicals, detergents and hazardous materials within </w:t>
      </w:r>
      <w:r>
        <w:rPr>
          <w:color w:val="000000"/>
          <w:sz w:val="24"/>
          <w:szCs w:val="24"/>
        </w:rPr>
        <w:t xml:space="preserve">Togher Boys’ </w:t>
      </w:r>
      <w:r>
        <w:rPr>
          <w:rFonts w:cs="Tahoma"/>
        </w:rPr>
        <w:t>NATIONAL SCHOOL; these may be obtained by contacting the Department Head or consequently contacting the Health &amp; Safety Officer.</w:t>
      </w:r>
    </w:p>
    <w:p>
      <w:pPr>
        <w:pStyle w:val="Heading1"/>
        <w:spacing w:lineRule="auto" w:line="240"/>
        <w:rPr>
          <w:rFonts w:ascii="Calibri" w:hAnsi="Calibri"/>
        </w:rPr>
      </w:pPr>
      <w:bookmarkStart w:id="72" w:name="_Toc244923616"/>
      <w:bookmarkEnd w:id="72"/>
      <w:r>
        <w:rPr>
          <w:rFonts w:ascii="Calibri" w:hAnsi="Calibri"/>
        </w:rPr>
        <w:t>22. Revision of Safety Statement</w:t>
      </w:r>
    </w:p>
    <w:p>
      <w:pPr>
        <w:pStyle w:val="Normal"/>
        <w:spacing w:before="0" w:after="0"/>
        <w:rPr/>
      </w:pPr>
      <w:r>
        <w:rPr/>
      </w:r>
    </w:p>
    <w:p>
      <w:pPr>
        <w:pStyle w:val="Normal"/>
        <w:spacing w:lineRule="auto" w:line="240"/>
        <w:jc w:val="both"/>
        <w:rPr>
          <w:rFonts w:cs="Tahoma"/>
        </w:rPr>
      </w:pPr>
      <w:r>
        <w:rPr>
          <w:rFonts w:cs="Tahoma"/>
        </w:rPr>
        <w:t>The Safety Statement will be reviewed annually or with changes in legislation.</w:t>
      </w:r>
    </w:p>
    <w:p>
      <w:pPr>
        <w:pStyle w:val="Normal"/>
        <w:spacing w:lineRule="auto" w:line="240"/>
        <w:jc w:val="both"/>
        <w:rPr>
          <w:rFonts w:cs="Tahoma"/>
        </w:rPr>
      </w:pPr>
      <w:r>
        <w:rPr>
          <w:rFonts w:cs="Tahoma"/>
        </w:rPr>
        <w:t>The annual review will include the following.</w:t>
      </w:r>
    </w:p>
    <w:p>
      <w:pPr>
        <w:pStyle w:val="Normal"/>
        <w:numPr>
          <w:ilvl w:val="1"/>
          <w:numId w:val="2"/>
        </w:numPr>
        <w:spacing w:lineRule="auto" w:line="240" w:before="0" w:after="0"/>
        <w:ind w:left="284" w:hanging="284"/>
        <w:jc w:val="both"/>
        <w:rPr>
          <w:rFonts w:cs="Tahoma"/>
        </w:rPr>
      </w:pPr>
      <w:r>
        <w:rPr>
          <w:rFonts w:cs="Tahoma"/>
        </w:rPr>
        <w:t>A review of all incidents in the previous twelve months involving health and safety at work.</w:t>
      </w:r>
    </w:p>
    <w:p>
      <w:pPr>
        <w:pStyle w:val="Normal"/>
        <w:numPr>
          <w:ilvl w:val="1"/>
          <w:numId w:val="2"/>
        </w:numPr>
        <w:spacing w:lineRule="auto" w:line="240" w:before="0" w:after="0"/>
        <w:ind w:left="284" w:hanging="284"/>
        <w:jc w:val="both"/>
        <w:rPr>
          <w:rFonts w:cs="Tahoma"/>
        </w:rPr>
      </w:pPr>
      <w:r>
        <w:rPr>
          <w:rFonts w:cs="Tahoma"/>
        </w:rPr>
        <w:t>A review of the measures taken to avoid a re-occurrence of such incidents.</w:t>
      </w:r>
    </w:p>
    <w:p>
      <w:pPr>
        <w:pStyle w:val="Normal"/>
        <w:numPr>
          <w:ilvl w:val="1"/>
          <w:numId w:val="2"/>
        </w:numPr>
        <w:spacing w:lineRule="auto" w:line="240" w:before="0" w:after="0"/>
        <w:ind w:left="284" w:hanging="284"/>
        <w:jc w:val="both"/>
        <w:rPr>
          <w:rFonts w:cs="Tahoma"/>
        </w:rPr>
      </w:pPr>
      <w:r>
        <w:rPr>
          <w:rFonts w:cs="Tahoma"/>
        </w:rPr>
        <w:t>A review of all records maintained by designated responsible persons.</w:t>
      </w:r>
    </w:p>
    <w:p>
      <w:pPr>
        <w:pStyle w:val="Normal"/>
        <w:numPr>
          <w:ilvl w:val="1"/>
          <w:numId w:val="2"/>
        </w:numPr>
        <w:spacing w:lineRule="auto" w:line="240" w:before="0" w:after="0"/>
        <w:ind w:left="284" w:hanging="284"/>
        <w:jc w:val="both"/>
        <w:rPr>
          <w:rFonts w:cs="Tahoma"/>
        </w:rPr>
      </w:pPr>
      <w:r>
        <w:rPr>
          <w:rFonts w:cs="Tahoma"/>
        </w:rPr>
        <w:t>A review of training provided.</w:t>
      </w:r>
    </w:p>
    <w:p>
      <w:pPr>
        <w:pStyle w:val="Normal"/>
        <w:numPr>
          <w:ilvl w:val="1"/>
          <w:numId w:val="2"/>
        </w:numPr>
        <w:spacing w:lineRule="auto" w:line="240" w:before="0" w:after="0"/>
        <w:ind w:left="284" w:hanging="284"/>
        <w:jc w:val="both"/>
        <w:rPr>
          <w:rFonts w:cs="Tahoma"/>
        </w:rPr>
      </w:pPr>
      <w:r>
        <w:rPr>
          <w:rFonts w:cs="Tahoma"/>
        </w:rPr>
        <w:t>A review of the resources spent in implementing the safety management systems.</w:t>
      </w:r>
    </w:p>
    <w:p>
      <w:pPr>
        <w:pStyle w:val="Normal"/>
        <w:numPr>
          <w:ilvl w:val="1"/>
          <w:numId w:val="2"/>
        </w:numPr>
        <w:spacing w:lineRule="auto" w:line="240" w:before="0" w:after="0"/>
        <w:ind w:left="284" w:hanging="284"/>
        <w:jc w:val="both"/>
        <w:rPr>
          <w:rFonts w:cs="Tahoma"/>
        </w:rPr>
      </w:pPr>
      <w:r>
        <w:rPr>
          <w:rFonts w:cs="Tahoma"/>
        </w:rPr>
        <w:t>Proposals for amendments to safety statement.</w:t>
      </w:r>
    </w:p>
    <w:p>
      <w:pPr>
        <w:pStyle w:val="Normal"/>
        <w:numPr>
          <w:ilvl w:val="1"/>
          <w:numId w:val="2"/>
        </w:numPr>
        <w:spacing w:lineRule="auto" w:line="240" w:before="0" w:after="0"/>
        <w:ind w:left="284" w:hanging="284"/>
        <w:jc w:val="both"/>
        <w:rPr>
          <w:rFonts w:cs="Tahoma"/>
        </w:rPr>
      </w:pPr>
      <w:r>
        <w:rPr>
          <w:rFonts w:cs="Tahoma"/>
        </w:rPr>
        <w:t>Proposals for training during the coming year.</w:t>
      </w:r>
    </w:p>
    <w:p>
      <w:pPr>
        <w:pStyle w:val="Normal"/>
        <w:numPr>
          <w:ilvl w:val="1"/>
          <w:numId w:val="2"/>
        </w:numPr>
        <w:spacing w:lineRule="auto" w:line="240" w:before="0" w:after="0"/>
        <w:ind w:left="284" w:hanging="284"/>
        <w:jc w:val="both"/>
        <w:rPr>
          <w:rFonts w:cs="Tahoma"/>
        </w:rPr>
      </w:pPr>
      <w:r>
        <w:rPr>
          <w:rFonts w:cs="Tahoma"/>
        </w:rPr>
        <w:t>A review of hazard and risk assessments within the working areas.</w:t>
      </w:r>
    </w:p>
    <w:p>
      <w:pPr>
        <w:pStyle w:val="Normal"/>
        <w:numPr>
          <w:ilvl w:val="1"/>
          <w:numId w:val="2"/>
        </w:numPr>
        <w:spacing w:lineRule="auto" w:line="240" w:before="0" w:after="0"/>
        <w:ind w:left="284" w:hanging="284"/>
        <w:jc w:val="both"/>
        <w:rPr>
          <w:rFonts w:cs="Tahoma"/>
        </w:rPr>
      </w:pPr>
      <w:r>
        <w:rPr>
          <w:rFonts w:cs="Tahoma"/>
        </w:rPr>
        <w:t>Updating with regard to new legislation.</w:t>
      </w:r>
    </w:p>
    <w:p>
      <w:pPr>
        <w:pStyle w:val="Heading2"/>
        <w:spacing w:lineRule="auto" w:line="240"/>
        <w:rPr>
          <w:rFonts w:ascii="Calibri" w:hAnsi="Calibri"/>
        </w:rPr>
      </w:pPr>
      <w:bookmarkStart w:id="73" w:name="_Toc244923617"/>
      <w:bookmarkEnd w:id="73"/>
      <w:r>
        <w:rPr>
          <w:rFonts w:ascii="Calibri" w:hAnsi="Calibri"/>
        </w:rPr>
        <w:t>22.1 The Health &amp; Safety Management System</w:t>
      </w:r>
    </w:p>
    <w:p>
      <w:pPr>
        <w:pStyle w:val="Normal"/>
        <w:spacing w:lineRule="auto" w:line="240"/>
        <w:jc w:val="both"/>
        <w:rPr>
          <w:rFonts w:cs="Tahoma"/>
        </w:rPr>
      </w:pPr>
      <w:r>
        <w:rPr>
          <w:rFonts w:cs="Tahoma"/>
        </w:rPr>
        <w:t>The first step of the Health and Safety Management system is to carry out an initial review including a review of the Health and Safety Management arrangements. This review would compare existing Health and Safety practice with the following:</w:t>
      </w:r>
    </w:p>
    <w:p>
      <w:pPr>
        <w:pStyle w:val="Normal"/>
        <w:numPr>
          <w:ilvl w:val="0"/>
          <w:numId w:val="41"/>
        </w:numPr>
        <w:spacing w:lineRule="auto" w:line="240" w:before="0" w:after="0"/>
        <w:ind w:left="284" w:hanging="284"/>
        <w:jc w:val="both"/>
        <w:rPr>
          <w:rFonts w:cs="Tahoma"/>
        </w:rPr>
      </w:pPr>
      <w:r>
        <w:rPr>
          <w:rFonts w:cs="Tahoma"/>
        </w:rPr>
        <w:t>The requirements of Health and Safety legislation;</w:t>
      </w:r>
    </w:p>
    <w:p>
      <w:pPr>
        <w:pStyle w:val="Normal"/>
        <w:numPr>
          <w:ilvl w:val="0"/>
          <w:numId w:val="41"/>
        </w:numPr>
        <w:spacing w:lineRule="auto" w:line="240" w:before="0" w:after="0"/>
        <w:ind w:left="284" w:hanging="284"/>
        <w:jc w:val="both"/>
        <w:rPr>
          <w:rFonts w:cs="Tahoma"/>
        </w:rPr>
      </w:pPr>
      <w:r>
        <w:rPr>
          <w:rFonts w:cs="Tahoma"/>
        </w:rPr>
        <w:t>The provision set out in the School Safety Statement;</w:t>
      </w:r>
    </w:p>
    <w:p>
      <w:pPr>
        <w:pStyle w:val="Normal"/>
        <w:numPr>
          <w:ilvl w:val="0"/>
          <w:numId w:val="41"/>
        </w:numPr>
        <w:spacing w:lineRule="auto" w:line="240" w:before="0" w:after="0"/>
        <w:ind w:left="284" w:hanging="284"/>
        <w:jc w:val="both"/>
        <w:rPr>
          <w:rFonts w:cs="Tahoma"/>
        </w:rPr>
      </w:pPr>
      <w:r>
        <w:rPr>
          <w:rFonts w:cs="Tahoma"/>
        </w:rPr>
        <w:t>Health and Safety guidance in the School;</w:t>
      </w:r>
    </w:p>
    <w:p>
      <w:pPr>
        <w:pStyle w:val="Normal"/>
        <w:numPr>
          <w:ilvl w:val="0"/>
          <w:numId w:val="41"/>
        </w:numPr>
        <w:spacing w:lineRule="auto" w:line="240" w:before="0" w:after="0"/>
        <w:ind w:left="284" w:hanging="284"/>
        <w:jc w:val="both"/>
        <w:rPr>
          <w:rFonts w:cs="Tahoma"/>
        </w:rPr>
      </w:pPr>
      <w:r>
        <w:rPr>
          <w:rFonts w:cs="Tahoma"/>
        </w:rPr>
        <w:t>Existing authoritative on published Health and Safety guidance and</w:t>
      </w:r>
    </w:p>
    <w:p>
      <w:pPr>
        <w:pStyle w:val="Normal"/>
        <w:numPr>
          <w:ilvl w:val="0"/>
          <w:numId w:val="41"/>
        </w:numPr>
        <w:spacing w:lineRule="auto" w:line="240" w:before="0" w:after="0"/>
        <w:ind w:left="284" w:hanging="284"/>
        <w:jc w:val="both"/>
        <w:rPr>
          <w:rFonts w:cs="Tahoma"/>
        </w:rPr>
      </w:pPr>
      <w:r>
        <w:rPr>
          <w:rFonts w:cs="Tahoma"/>
        </w:rPr>
        <w:t>Best practice in the School Employment Sector.</w:t>
      </w:r>
    </w:p>
    <w:p>
      <w:pPr>
        <w:pStyle w:val="Normal"/>
        <w:spacing w:lineRule="auto" w:line="240" w:before="0" w:after="0"/>
        <w:ind w:left="284" w:hanging="0"/>
        <w:jc w:val="both"/>
        <w:rPr>
          <w:rFonts w:cs="Tahoma"/>
        </w:rPr>
      </w:pPr>
      <w:r>
        <w:rPr>
          <w:rFonts w:cs="Tahoma"/>
        </w:rPr>
      </w:r>
    </w:p>
    <w:p>
      <w:pPr>
        <w:pStyle w:val="Normal"/>
        <w:spacing w:lineRule="auto" w:line="240" w:before="0" w:after="0"/>
        <w:jc w:val="both"/>
        <w:rPr>
          <w:rFonts w:cs="Tahoma"/>
        </w:rPr>
      </w:pPr>
      <w:r>
        <w:rPr>
          <w:rFonts w:cs="Tahoma"/>
        </w:rPr>
        <w:t>In order to comply with the Health and Safety legislation the School will prepare and implement the Safety Statement requirements, carry out ongoing risk assessments, have effective safety consultation and facilitate the selection of and support the role of the Safety Representative and Safety Committee. The Health and Safety Officer will review the Health and Safety Management System annually.</w:t>
      </w:r>
    </w:p>
    <w:p>
      <w:pPr>
        <w:pStyle w:val="Heading2"/>
        <w:spacing w:lineRule="auto" w:line="240"/>
        <w:rPr>
          <w:rFonts w:ascii="Calibri" w:hAnsi="Calibri"/>
        </w:rPr>
      </w:pPr>
      <w:bookmarkStart w:id="74" w:name="_Toc244923618"/>
      <w:bookmarkEnd w:id="74"/>
      <w:r>
        <w:rPr>
          <w:rFonts w:ascii="Calibri" w:hAnsi="Calibri"/>
        </w:rPr>
        <w:t>22.2 Initial Review</w:t>
      </w:r>
    </w:p>
    <w:p>
      <w:pPr>
        <w:pStyle w:val="Normal"/>
        <w:spacing w:lineRule="auto" w:line="240"/>
        <w:jc w:val="both"/>
        <w:rPr>
          <w:rFonts w:cs="Tahoma"/>
        </w:rPr>
      </w:pPr>
      <w:r>
        <w:rPr>
          <w:rFonts w:cs="Tahoma"/>
        </w:rPr>
        <w:t>The following check list will be used as a non-exhaustive review</w:t>
      </w:r>
    </w:p>
    <w:p>
      <w:pPr>
        <w:pStyle w:val="Normal"/>
        <w:spacing w:lineRule="auto" w:line="240"/>
        <w:jc w:val="both"/>
        <w:rPr>
          <w:rFonts w:cs="Tahoma"/>
          <w:b/>
          <w:b/>
        </w:rPr>
      </w:pPr>
      <w:r>
        <w:rPr>
          <w:rFonts w:cs="Tahoma"/>
          <w:b/>
        </w:rPr>
        <w:t>Checklist:</w:t>
      </w:r>
    </w:p>
    <w:p>
      <w:pPr>
        <w:pStyle w:val="Normal"/>
        <w:numPr>
          <w:ilvl w:val="0"/>
          <w:numId w:val="42"/>
        </w:numPr>
        <w:spacing w:lineRule="auto" w:line="240" w:before="0" w:after="0"/>
        <w:ind w:left="284" w:hanging="284"/>
        <w:jc w:val="both"/>
        <w:rPr>
          <w:rFonts w:cs="Tahoma"/>
        </w:rPr>
      </w:pPr>
      <w:r>
        <w:rPr>
          <w:rFonts w:cs="Tahoma"/>
        </w:rPr>
        <w:t>Is the Safety Statement clear and concise so that it can be read and understood by those who may be at risk?</w:t>
      </w:r>
    </w:p>
    <w:p>
      <w:pPr>
        <w:pStyle w:val="Normal"/>
        <w:numPr>
          <w:ilvl w:val="0"/>
          <w:numId w:val="42"/>
        </w:numPr>
        <w:spacing w:lineRule="auto" w:line="240" w:before="0" w:after="0"/>
        <w:ind w:left="284" w:hanging="284"/>
        <w:jc w:val="both"/>
        <w:rPr>
          <w:rFonts w:cs="Tahoma"/>
        </w:rPr>
      </w:pPr>
      <w:r>
        <w:rPr>
          <w:rFonts w:cs="Tahoma"/>
        </w:rPr>
        <w:t>Is the overall Health and Safety policy of the School and internal structure for implementing it adequate? Are responsibilities of named persons clearly outlined?</w:t>
      </w:r>
    </w:p>
    <w:p>
      <w:pPr>
        <w:pStyle w:val="Normal"/>
        <w:numPr>
          <w:ilvl w:val="0"/>
          <w:numId w:val="42"/>
        </w:numPr>
        <w:spacing w:lineRule="auto" w:line="240" w:before="0" w:after="0"/>
        <w:ind w:left="284" w:hanging="284"/>
        <w:jc w:val="both"/>
        <w:rPr>
          <w:rFonts w:cs="Tahoma"/>
        </w:rPr>
      </w:pPr>
      <w:r>
        <w:rPr>
          <w:rFonts w:cs="Tahoma"/>
        </w:rPr>
        <w:t>Is the Safety Statement based on the systematic identification of hazards and assessment of risks at the work place?</w:t>
      </w:r>
    </w:p>
    <w:p>
      <w:pPr>
        <w:pStyle w:val="Normal"/>
        <w:numPr>
          <w:ilvl w:val="0"/>
          <w:numId w:val="42"/>
        </w:numPr>
        <w:spacing w:lineRule="auto" w:line="240" w:before="0" w:after="0"/>
        <w:ind w:left="284" w:hanging="284"/>
        <w:jc w:val="both"/>
        <w:rPr>
          <w:rFonts w:cs="Tahoma"/>
        </w:rPr>
      </w:pPr>
      <w:r>
        <w:rPr>
          <w:rFonts w:cs="Tahoma"/>
        </w:rPr>
        <w:t>Are risk assessments carried out on a regular basis as the risks change and are they acted on to keep the Health and Safety Management system up to date?</w:t>
      </w:r>
    </w:p>
    <w:p>
      <w:pPr>
        <w:pStyle w:val="Normal"/>
        <w:numPr>
          <w:ilvl w:val="0"/>
          <w:numId w:val="42"/>
        </w:numPr>
        <w:spacing w:lineRule="auto" w:line="240" w:before="0" w:after="0"/>
        <w:ind w:left="284" w:hanging="284"/>
        <w:jc w:val="both"/>
        <w:rPr>
          <w:rFonts w:cs="Tahoma"/>
        </w:rPr>
      </w:pPr>
      <w:r>
        <w:rPr>
          <w:rFonts w:cs="Tahoma"/>
        </w:rPr>
        <w:t>Are the necessary safety control measures required for a safe work place identified and implemented? Are written safety procedures available?</w:t>
      </w:r>
    </w:p>
    <w:p>
      <w:pPr>
        <w:pStyle w:val="Normal"/>
        <w:numPr>
          <w:ilvl w:val="0"/>
          <w:numId w:val="42"/>
        </w:numPr>
        <w:spacing w:lineRule="auto" w:line="240" w:before="0" w:after="0"/>
        <w:ind w:left="284" w:hanging="284"/>
        <w:jc w:val="both"/>
        <w:rPr>
          <w:rFonts w:cs="Tahoma"/>
        </w:rPr>
      </w:pPr>
      <w:r>
        <w:rPr>
          <w:rFonts w:cs="Tahoma"/>
        </w:rPr>
        <w:t>Are procedures available for monitoring the implementation of safety systems and control measures?</w:t>
      </w:r>
    </w:p>
    <w:p>
      <w:pPr>
        <w:pStyle w:val="Normal"/>
        <w:numPr>
          <w:ilvl w:val="0"/>
          <w:numId w:val="42"/>
        </w:numPr>
        <w:spacing w:lineRule="auto" w:line="240" w:before="0" w:after="0"/>
        <w:ind w:left="284" w:hanging="284"/>
        <w:jc w:val="both"/>
        <w:rPr>
          <w:rFonts w:cs="Tahoma"/>
        </w:rPr>
      </w:pPr>
      <w:r>
        <w:rPr>
          <w:rFonts w:cs="Tahoma"/>
        </w:rPr>
        <w:t>Is Health and Safety training being carried out?</w:t>
      </w:r>
    </w:p>
    <w:p>
      <w:pPr>
        <w:pStyle w:val="Normal"/>
        <w:numPr>
          <w:ilvl w:val="0"/>
          <w:numId w:val="42"/>
        </w:numPr>
        <w:spacing w:lineRule="auto" w:line="240" w:before="0" w:after="0"/>
        <w:ind w:left="284" w:hanging="284"/>
        <w:jc w:val="both"/>
        <w:rPr>
          <w:rFonts w:cs="Tahoma"/>
        </w:rPr>
      </w:pPr>
      <w:r>
        <w:rPr>
          <w:rFonts w:cs="Tahoma"/>
        </w:rPr>
        <w:t>Is the impact of this training and the level of understanding of the information properly assessed?</w:t>
      </w:r>
    </w:p>
    <w:p>
      <w:pPr>
        <w:pStyle w:val="Normal"/>
        <w:numPr>
          <w:ilvl w:val="0"/>
          <w:numId w:val="42"/>
        </w:numPr>
        <w:spacing w:lineRule="auto" w:line="240" w:before="0" w:after="0"/>
        <w:ind w:left="284" w:hanging="284"/>
        <w:jc w:val="both"/>
        <w:rPr>
          <w:rFonts w:cs="Tahoma"/>
        </w:rPr>
      </w:pPr>
      <w:r>
        <w:rPr>
          <w:rFonts w:cs="Tahoma"/>
        </w:rPr>
        <w:t>Do safety consultation and representation procedures exist and are these procedures effective?</w:t>
      </w:r>
    </w:p>
    <w:p>
      <w:pPr>
        <w:pStyle w:val="Normal"/>
        <w:numPr>
          <w:ilvl w:val="0"/>
          <w:numId w:val="42"/>
        </w:numPr>
        <w:spacing w:lineRule="auto" w:line="240" w:before="0" w:after="0"/>
        <w:ind w:left="284" w:hanging="284"/>
        <w:jc w:val="both"/>
        <w:rPr>
          <w:rFonts w:cs="Tahoma"/>
        </w:rPr>
      </w:pPr>
      <w:r>
        <w:rPr>
          <w:rFonts w:cs="Tahoma"/>
        </w:rPr>
        <w:t>Are safety committee meetings constructive with meeting reports and follow-up action lists?</w:t>
      </w:r>
    </w:p>
    <w:p>
      <w:pPr>
        <w:pStyle w:val="Normal"/>
        <w:numPr>
          <w:ilvl w:val="0"/>
          <w:numId w:val="42"/>
        </w:numPr>
        <w:spacing w:lineRule="auto" w:line="240" w:before="0" w:after="0"/>
        <w:ind w:left="284" w:hanging="284"/>
        <w:jc w:val="both"/>
        <w:rPr>
          <w:rFonts w:cs="Tahoma"/>
        </w:rPr>
      </w:pPr>
      <w:r>
        <w:rPr>
          <w:rFonts w:cs="Tahoma"/>
        </w:rPr>
        <w:t>Is there adequate co-operation between employer, managers and employees on health and safety issues in the work place?</w:t>
      </w:r>
    </w:p>
    <w:p>
      <w:pPr>
        <w:pStyle w:val="Heading2"/>
        <w:spacing w:lineRule="auto" w:line="240"/>
        <w:rPr>
          <w:rFonts w:ascii="Calibri" w:hAnsi="Calibri"/>
        </w:rPr>
      </w:pPr>
      <w:bookmarkStart w:id="75" w:name="_Toc244923619"/>
      <w:bookmarkEnd w:id="75"/>
      <w:r>
        <w:rPr>
          <w:rFonts w:ascii="Calibri" w:hAnsi="Calibri"/>
        </w:rPr>
        <w:t>22.3 Planning</w:t>
      </w:r>
    </w:p>
    <w:p>
      <w:pPr>
        <w:pStyle w:val="Normal"/>
        <w:spacing w:lineRule="auto" w:line="240"/>
        <w:jc w:val="both"/>
        <w:rPr>
          <w:rFonts w:cs="Tahoma"/>
        </w:rPr>
      </w:pPr>
      <w:r>
        <w:rPr>
          <w:rFonts w:cs="Tahoma"/>
        </w:rPr>
        <w:t>An effective planned system for health and safety requires that a Health and Safety Management System controls the risk, reacts to change in circumstances and demands and promotes a sustained positive health and safety culture. Initially the School will access and identify relevant legislation, codes of practice and guidelines, or the legal and other requirements and communicate relevant information on these to all employees. The health and safety plan will include clear performance standards, define work programmes, designate responsibilities and set time frames for tasks to be completed.</w:t>
      </w:r>
    </w:p>
    <w:p>
      <w:pPr>
        <w:pStyle w:val="Heading2"/>
        <w:spacing w:lineRule="auto" w:line="240"/>
        <w:rPr>
          <w:rFonts w:ascii="Calibri" w:hAnsi="Calibri"/>
        </w:rPr>
      </w:pPr>
      <w:bookmarkStart w:id="76" w:name="_Toc244923620"/>
      <w:bookmarkEnd w:id="76"/>
      <w:r>
        <w:rPr>
          <w:rFonts w:ascii="Calibri" w:hAnsi="Calibri"/>
        </w:rPr>
        <w:t>22.4 Measuring Performance</w:t>
      </w:r>
    </w:p>
    <w:p>
      <w:pPr>
        <w:pStyle w:val="Normal"/>
        <w:spacing w:lineRule="auto" w:line="240"/>
        <w:jc w:val="both"/>
        <w:rPr>
          <w:rFonts w:cs="Tahoma"/>
        </w:rPr>
      </w:pPr>
      <w:r>
        <w:rPr>
          <w:rFonts w:cs="Tahoma"/>
        </w:rPr>
        <w:t>The next step of the Management system is measuring performance.</w:t>
      </w:r>
    </w:p>
    <w:p>
      <w:pPr>
        <w:pStyle w:val="Normal"/>
        <w:spacing w:lineRule="auto" w:line="240"/>
        <w:jc w:val="both"/>
        <w:rPr>
          <w:rFonts w:cs="Tahoma"/>
        </w:rPr>
      </w:pPr>
      <w:r>
        <w:rPr>
          <w:rFonts w:cs="Tahoma"/>
        </w:rPr>
        <w:t>Monitoring performance is essential after implementing the Health and Safety Policy to assess how effectively it controls risks and how well it is developing a positive health and safety culture. A new measurement programme is currently been designed using the HSA’s Safety Management Tool as a template.</w:t>
      </w:r>
    </w:p>
    <w:p>
      <w:pPr>
        <w:pStyle w:val="Heading2"/>
        <w:spacing w:lineRule="auto" w:line="240"/>
        <w:rPr>
          <w:rFonts w:ascii="Calibri" w:hAnsi="Calibri"/>
        </w:rPr>
      </w:pPr>
      <w:bookmarkStart w:id="77" w:name="_Toc244923621"/>
      <w:bookmarkEnd w:id="77"/>
      <w:r>
        <w:rPr>
          <w:rFonts w:ascii="Calibri" w:hAnsi="Calibri"/>
        </w:rPr>
        <w:t>22 .5 Auditing</w:t>
      </w:r>
    </w:p>
    <w:p>
      <w:pPr>
        <w:pStyle w:val="Normal"/>
        <w:spacing w:lineRule="auto" w:line="240"/>
        <w:jc w:val="both"/>
        <w:rPr>
          <w:rFonts w:cs="Tahoma"/>
        </w:rPr>
      </w:pPr>
      <w:r>
        <w:rPr>
          <w:rFonts w:cs="Tahoma"/>
        </w:rPr>
        <w:t>Auditing and performance review are the final steps in the Health and Safety Management control cycle.</w:t>
      </w:r>
    </w:p>
    <w:p>
      <w:pPr>
        <w:pStyle w:val="Normal"/>
        <w:spacing w:lineRule="auto" w:line="240"/>
        <w:jc w:val="both"/>
        <w:rPr>
          <w:rFonts w:cs="Tahoma"/>
        </w:rPr>
      </w:pPr>
      <w:r>
        <w:rPr>
          <w:rFonts w:cs="Tahoma"/>
        </w:rPr>
        <w:t>A safety audit aims to provide an independent assessment of the safety and health control management system.</w:t>
      </w:r>
    </w:p>
    <w:p>
      <w:pPr>
        <w:pStyle w:val="Normal"/>
        <w:spacing w:lineRule="auto" w:line="240"/>
        <w:jc w:val="both"/>
        <w:rPr>
          <w:rFonts w:cs="Tahoma"/>
        </w:rPr>
      </w:pPr>
      <w:r>
        <w:rPr>
          <w:rFonts w:cs="Tahoma"/>
        </w:rPr>
        <w:t>The constitutional feedback helps an organisation to reinforce, maintain and develop accessibility to reduce risks to the fullest extent and to ensure the continued effectiveness of its Health and Safety Management system.</w:t>
      </w:r>
    </w:p>
    <w:p>
      <w:pPr>
        <w:pStyle w:val="Normal"/>
        <w:spacing w:lineRule="auto" w:line="240"/>
        <w:jc w:val="both"/>
        <w:rPr>
          <w:rFonts w:cs="Tahoma"/>
        </w:rPr>
      </w:pPr>
      <w:r>
        <w:rPr>
          <w:rFonts w:cs="Tahoma"/>
        </w:rPr>
        <w:t>Auditing ensures the process of collecting independent information, the efficiency and effectiveness and reliability of the total Health and Safety Management system in the School and drawing up plans for corrective action.</w:t>
      </w:r>
    </w:p>
    <w:p>
      <w:pPr>
        <w:pStyle w:val="Heading1"/>
        <w:spacing w:lineRule="auto" w:line="240"/>
        <w:rPr>
          <w:rFonts w:ascii="Calibri" w:hAnsi="Calibri"/>
        </w:rPr>
      </w:pPr>
      <w:bookmarkStart w:id="78" w:name="_Toc244923622"/>
      <w:bookmarkEnd w:id="78"/>
      <w:r>
        <w:rPr>
          <w:rFonts w:ascii="Calibri" w:hAnsi="Calibri"/>
        </w:rPr>
        <w:t>23. Safety Signs - What Signs are Required?</w:t>
      </w:r>
    </w:p>
    <w:p>
      <w:pPr>
        <w:pStyle w:val="Normal"/>
        <w:spacing w:lineRule="auto" w:line="240" w:before="0" w:after="0"/>
        <w:rPr/>
      </w:pPr>
      <w:r>
        <w:rPr/>
      </w:r>
    </w:p>
    <w:p>
      <w:pPr>
        <w:pStyle w:val="Normal"/>
        <w:spacing w:lineRule="auto" w:line="240" w:before="0" w:after="0"/>
        <w:jc w:val="both"/>
        <w:rPr>
          <w:rFonts w:cs="Tahoma"/>
        </w:rPr>
      </w:pPr>
      <w:r>
        <w:rPr>
          <w:rFonts w:cs="Tahoma"/>
        </w:rPr>
        <w:t xml:space="preserve">Safety Signs must comply with the European Safety Directive (Signs), however, as best practice must also comply with the SHWW Signs Regulations. Supplementary text may be added to the sign to reinforce the meaning. </w:t>
      </w:r>
    </w:p>
    <w:p>
      <w:pPr>
        <w:pStyle w:val="Heading1"/>
        <w:spacing w:lineRule="auto" w:line="240"/>
        <w:rPr>
          <w:rFonts w:ascii="Calibri" w:hAnsi="Calibri"/>
        </w:rPr>
      </w:pPr>
      <w:bookmarkStart w:id="79" w:name="_Toc244923623"/>
      <w:bookmarkEnd w:id="79"/>
      <w:r>
        <w:rPr>
          <w:rFonts w:ascii="Calibri" w:hAnsi="Calibri"/>
        </w:rPr>
        <w:t>24. References</w:t>
      </w:r>
    </w:p>
    <w:p>
      <w:pPr>
        <w:pStyle w:val="Normal"/>
        <w:spacing w:before="0" w:after="0"/>
        <w:rPr/>
      </w:pPr>
      <w:r>
        <w:rPr/>
      </w:r>
    </w:p>
    <w:p>
      <w:pPr>
        <w:pStyle w:val="Normal"/>
        <w:spacing w:lineRule="auto" w:line="240" w:before="0" w:after="0"/>
        <w:jc w:val="both"/>
        <w:rPr>
          <w:rFonts w:cs="Tahoma"/>
        </w:rPr>
      </w:pPr>
      <w:r>
        <w:rPr>
          <w:rFonts w:cs="Tahoma"/>
        </w:rPr>
        <w:t>Safety, Health and Welfare at Work (SHWW) Act, 2005</w:t>
      </w:r>
    </w:p>
    <w:p>
      <w:pPr>
        <w:pStyle w:val="Normal"/>
        <w:spacing w:lineRule="auto" w:line="240" w:before="0" w:after="0"/>
        <w:jc w:val="both"/>
        <w:rPr>
          <w:rFonts w:cs="Tahoma"/>
        </w:rPr>
      </w:pPr>
      <w:r>
        <w:rPr>
          <w:rFonts w:cs="Tahoma"/>
        </w:rPr>
        <w:t>Safety, Health and Welfare (General Application) Regulations, 2007</w:t>
      </w:r>
    </w:p>
    <w:p>
      <w:pPr>
        <w:pStyle w:val="Normal"/>
        <w:spacing w:lineRule="auto" w:line="240" w:before="0" w:after="0"/>
        <w:jc w:val="both"/>
        <w:rPr>
          <w:rFonts w:cs="Tahoma"/>
        </w:rPr>
      </w:pPr>
      <w:r>
        <w:rPr>
          <w:rFonts w:cs="Tahoma"/>
        </w:rPr>
        <w:t>Draft Corporate Safety Statement – draft 5</w:t>
      </w:r>
    </w:p>
    <w:p>
      <w:pPr>
        <w:pStyle w:val="Normal"/>
        <w:spacing w:lineRule="auto" w:line="240" w:before="0" w:after="0"/>
        <w:jc w:val="both"/>
        <w:rPr>
          <w:rFonts w:cs="Tahoma"/>
        </w:rPr>
      </w:pPr>
      <w:r>
        <w:rPr>
          <w:rFonts w:cs="Tahoma"/>
        </w:rPr>
        <w:t>Human Resources – Policies/Procedures</w:t>
      </w:r>
    </w:p>
    <w:p>
      <w:pPr>
        <w:pStyle w:val="Normal"/>
        <w:spacing w:lineRule="auto" w:line="240" w:before="0" w:after="0"/>
        <w:jc w:val="both"/>
        <w:rPr>
          <w:rFonts w:cs="Tahoma"/>
        </w:rPr>
      </w:pPr>
      <w:r>
        <w:rPr>
          <w:rFonts w:cs="Tahoma"/>
        </w:rPr>
        <w:t>Safety, Health and Welfare at Work (Biological Agents)</w:t>
      </w:r>
    </w:p>
    <w:p>
      <w:pPr>
        <w:pStyle w:val="Normal"/>
        <w:spacing w:lineRule="auto" w:line="240" w:before="0" w:after="0"/>
        <w:jc w:val="both"/>
        <w:rPr>
          <w:rFonts w:cs="Tahoma"/>
        </w:rPr>
      </w:pPr>
      <w:r>
        <w:rPr>
          <w:rFonts w:cs="Tahoma"/>
        </w:rPr>
        <w:t>Safety, Health and Welfare at Work (Chemical Agents)</w:t>
      </w:r>
    </w:p>
    <w:p>
      <w:pPr>
        <w:pStyle w:val="Normal"/>
        <w:spacing w:lineRule="auto" w:line="240" w:before="0" w:after="0"/>
        <w:jc w:val="both"/>
        <w:rPr>
          <w:rFonts w:cs="Tahoma"/>
        </w:rPr>
      </w:pPr>
      <w:r>
        <w:rPr>
          <w:rFonts w:cs="Tahoma"/>
        </w:rPr>
        <w:t>Safety, Health and Welfare at Work (Construction Regulations), 2006</w:t>
      </w:r>
    </w:p>
    <w:p>
      <w:pPr>
        <w:pStyle w:val="Normal"/>
        <w:spacing w:lineRule="auto" w:line="240" w:before="0" w:after="0"/>
        <w:jc w:val="both"/>
        <w:rPr>
          <w:rFonts w:cs="Tahoma"/>
        </w:rPr>
      </w:pPr>
      <w:r>
        <w:rPr>
          <w:rFonts w:cs="Tahoma"/>
        </w:rPr>
        <w:t>Fire Services Act, 1981</w:t>
      </w:r>
    </w:p>
    <w:p>
      <w:pPr>
        <w:pStyle w:val="Normal"/>
        <w:spacing w:lineRule="auto" w:line="240" w:before="0" w:after="0"/>
        <w:jc w:val="both"/>
        <w:rPr>
          <w:rFonts w:cs="Tahoma"/>
        </w:rPr>
      </w:pPr>
      <w:r>
        <w:rPr>
          <w:rFonts w:cs="Tahoma"/>
        </w:rPr>
        <w:t>Health and Safety Authority, www.hsa.ie</w:t>
      </w:r>
    </w:p>
    <w:p>
      <w:pPr>
        <w:pStyle w:val="Normal"/>
        <w:spacing w:lineRule="auto" w:line="240" w:before="0" w:after="0"/>
        <w:jc w:val="both"/>
        <w:rPr>
          <w:rFonts w:cs="Tahoma"/>
        </w:rPr>
      </w:pPr>
      <w:r>
        <w:rPr>
          <w:rFonts w:cs="Tahoma"/>
        </w:rPr>
        <w:t>Health and Safety Executive (UK), www.hse.gov.uk</w:t>
      </w:r>
    </w:p>
    <w:p>
      <w:pPr>
        <w:pStyle w:val="Normal"/>
        <w:spacing w:lineRule="auto" w:line="240" w:before="0" w:after="0"/>
        <w:jc w:val="both"/>
        <w:rPr>
          <w:rFonts w:cs="Tahoma"/>
        </w:rPr>
      </w:pPr>
      <w:r>
        <w:rPr>
          <w:rFonts w:cs="Tahoma"/>
        </w:rPr>
        <w:t>Radiological Protection Act, 1991</w:t>
      </w:r>
    </w:p>
    <w:p>
      <w:pPr>
        <w:pStyle w:val="Normal"/>
        <w:spacing w:lineRule="auto" w:line="240" w:before="0" w:after="0"/>
        <w:jc w:val="both"/>
        <w:rPr>
          <w:rFonts w:cs="Tahoma"/>
        </w:rPr>
      </w:pPr>
      <w:r>
        <w:rPr>
          <w:rFonts w:cs="Tahoma"/>
        </w:rPr>
        <w:t>Infectious Diseases Regulations</w:t>
      </w:r>
    </w:p>
    <w:p>
      <w:pPr>
        <w:pStyle w:val="Normal"/>
        <w:spacing w:lineRule="auto" w:line="240" w:before="0" w:after="0"/>
        <w:jc w:val="both"/>
        <w:rPr>
          <w:rFonts w:cs="Tahoma"/>
        </w:rPr>
      </w:pPr>
      <w:r>
        <w:rPr>
          <w:rFonts w:cs="Tahoma"/>
        </w:rPr>
      </w:r>
    </w:p>
    <w:p>
      <w:pPr>
        <w:pStyle w:val="Normal"/>
        <w:spacing w:lineRule="auto" w:line="240" w:before="0" w:after="0"/>
        <w:jc w:val="both"/>
        <w:rPr>
          <w:rFonts w:cs="Tahoma"/>
          <w:color w:val="000000"/>
        </w:rPr>
      </w:pPr>
      <w:r>
        <w:rPr>
          <w:rFonts w:cs="Tahoma"/>
          <w:color w:val="000000"/>
        </w:rPr>
        <w:t>Below are a list of School Policies; policies relating to or having a bearing on Health and Safety are highlighted in bold print.</w:t>
      </w:r>
    </w:p>
    <w:p>
      <w:pPr>
        <w:pStyle w:val="Normal"/>
        <w:spacing w:lineRule="auto" w:line="240" w:before="0" w:after="0"/>
        <w:jc w:val="both"/>
        <w:rPr>
          <w:rFonts w:cs="Tahoma"/>
          <w:color w:val="000000"/>
        </w:rPr>
      </w:pPr>
      <w:r>
        <w:rPr>
          <w:rFonts w:cs="Tahoma"/>
          <w:color w:val="000000"/>
        </w:rPr>
      </w:r>
    </w:p>
    <w:p>
      <w:pPr>
        <w:pStyle w:val="Normal"/>
        <w:numPr>
          <w:ilvl w:val="0"/>
          <w:numId w:val="3"/>
        </w:numPr>
        <w:tabs>
          <w:tab w:val="left" w:pos="284" w:leader="none"/>
        </w:tabs>
        <w:spacing w:lineRule="auto" w:line="240" w:before="0" w:after="0"/>
        <w:ind w:left="284" w:hanging="284"/>
        <w:jc w:val="both"/>
        <w:rPr>
          <w:rFonts w:cs="Tahoma"/>
          <w:i/>
          <w:i/>
          <w:color w:val="000000"/>
        </w:rPr>
      </w:pPr>
      <w:r>
        <w:rPr>
          <w:rFonts w:cs="Tahoma"/>
          <w:color w:val="000000"/>
        </w:rPr>
        <w:t>Policy/Procedure/Guidelines on data protection</w:t>
      </w:r>
    </w:p>
    <w:p>
      <w:pPr>
        <w:pStyle w:val="Normal"/>
        <w:numPr>
          <w:ilvl w:val="0"/>
          <w:numId w:val="3"/>
        </w:numPr>
        <w:tabs>
          <w:tab w:val="left" w:pos="284" w:leader="none"/>
        </w:tabs>
        <w:spacing w:lineRule="auto" w:line="240" w:before="0" w:after="0"/>
        <w:ind w:left="284" w:hanging="284"/>
        <w:jc w:val="both"/>
        <w:rPr>
          <w:rFonts w:cs="Tahoma"/>
          <w:i/>
          <w:i/>
          <w:color w:val="000000"/>
        </w:rPr>
      </w:pPr>
      <w:r>
        <w:rPr>
          <w:rFonts w:cs="Tahoma"/>
          <w:color w:val="000000"/>
        </w:rPr>
        <w:t xml:space="preserve">Policy on fundraising </w:t>
      </w:r>
    </w:p>
    <w:p>
      <w:pPr>
        <w:pStyle w:val="Normal"/>
        <w:numPr>
          <w:ilvl w:val="0"/>
          <w:numId w:val="3"/>
        </w:numPr>
        <w:tabs>
          <w:tab w:val="left" w:pos="284" w:leader="none"/>
        </w:tabs>
        <w:spacing w:lineRule="auto" w:line="240" w:before="0" w:after="0"/>
        <w:ind w:left="284" w:hanging="284"/>
        <w:jc w:val="both"/>
        <w:rPr>
          <w:rFonts w:cs="Tahoma"/>
          <w:b/>
          <w:b/>
          <w:i/>
          <w:i/>
          <w:color w:val="000000"/>
        </w:rPr>
      </w:pPr>
      <w:r>
        <w:rPr>
          <w:rFonts w:cs="Tahoma"/>
          <w:b/>
          <w:color w:val="000000"/>
        </w:rPr>
        <w:t>Policy on smoke free workplace</w:t>
      </w:r>
    </w:p>
    <w:p>
      <w:pPr>
        <w:pStyle w:val="Normal"/>
        <w:numPr>
          <w:ilvl w:val="0"/>
          <w:numId w:val="3"/>
        </w:numPr>
        <w:tabs>
          <w:tab w:val="left" w:pos="284" w:leader="none"/>
        </w:tabs>
        <w:spacing w:lineRule="auto" w:line="240" w:before="0" w:after="0"/>
        <w:ind w:left="284" w:hanging="284"/>
        <w:jc w:val="both"/>
        <w:rPr>
          <w:rFonts w:cs="Tahoma"/>
          <w:i/>
          <w:i/>
          <w:color w:val="000000"/>
        </w:rPr>
      </w:pPr>
      <w:r>
        <w:rPr>
          <w:rFonts w:cs="Tahoma"/>
          <w:color w:val="000000"/>
        </w:rPr>
        <w:t>Policy on energy</w:t>
      </w:r>
    </w:p>
    <w:p>
      <w:pPr>
        <w:pStyle w:val="Normal"/>
        <w:numPr>
          <w:ilvl w:val="0"/>
          <w:numId w:val="3"/>
        </w:numPr>
        <w:tabs>
          <w:tab w:val="left" w:pos="284" w:leader="none"/>
        </w:tabs>
        <w:spacing w:lineRule="auto" w:line="240" w:before="0" w:after="0"/>
        <w:ind w:left="284" w:hanging="284"/>
        <w:jc w:val="both"/>
        <w:rPr>
          <w:rFonts w:cs="Tahoma"/>
          <w:b/>
          <w:b/>
          <w:i/>
          <w:i/>
          <w:color w:val="000000"/>
        </w:rPr>
      </w:pPr>
      <w:r>
        <w:rPr>
          <w:rFonts w:cs="Tahoma"/>
          <w:b/>
          <w:color w:val="000000"/>
        </w:rPr>
        <w:t>Policy on reporting and management of incidents and accidents</w:t>
      </w:r>
    </w:p>
    <w:p>
      <w:pPr>
        <w:pStyle w:val="Normal"/>
        <w:numPr>
          <w:ilvl w:val="0"/>
          <w:numId w:val="3"/>
        </w:numPr>
        <w:tabs>
          <w:tab w:val="left" w:pos="284" w:leader="none"/>
        </w:tabs>
        <w:spacing w:lineRule="auto" w:line="240" w:before="0" w:after="0"/>
        <w:ind w:left="284" w:hanging="284"/>
        <w:jc w:val="both"/>
        <w:rPr>
          <w:rFonts w:cs="Tahoma"/>
          <w:b/>
          <w:b/>
          <w:i/>
          <w:i/>
          <w:color w:val="000000"/>
        </w:rPr>
      </w:pPr>
      <w:r>
        <w:rPr>
          <w:rFonts w:cs="Tahoma"/>
          <w:b/>
          <w:color w:val="000000"/>
        </w:rPr>
        <w:t>Policy on reporting and managing of aggressive/assaultive behaviour by students</w:t>
      </w:r>
    </w:p>
    <w:p>
      <w:pPr>
        <w:pStyle w:val="Normal"/>
        <w:numPr>
          <w:ilvl w:val="0"/>
          <w:numId w:val="3"/>
        </w:numPr>
        <w:tabs>
          <w:tab w:val="left" w:pos="284" w:leader="none"/>
        </w:tabs>
        <w:spacing w:lineRule="auto" w:line="240" w:before="0" w:after="0"/>
        <w:ind w:left="284" w:hanging="284"/>
        <w:jc w:val="both"/>
        <w:rPr>
          <w:rFonts w:cs="Tahoma"/>
          <w:b/>
          <w:b/>
          <w:i/>
          <w:i/>
          <w:color w:val="000000"/>
        </w:rPr>
      </w:pPr>
      <w:r>
        <w:rPr>
          <w:rFonts w:cs="Tahoma"/>
          <w:b/>
          <w:color w:val="000000"/>
        </w:rPr>
        <w:t>Policy on anti-bullying</w:t>
      </w:r>
    </w:p>
    <w:p>
      <w:pPr>
        <w:pStyle w:val="Normal"/>
        <w:numPr>
          <w:ilvl w:val="0"/>
          <w:numId w:val="3"/>
        </w:numPr>
        <w:tabs>
          <w:tab w:val="left" w:pos="284" w:leader="none"/>
        </w:tabs>
        <w:spacing w:lineRule="auto" w:line="240" w:before="0" w:after="0"/>
        <w:ind w:left="284" w:hanging="284"/>
        <w:jc w:val="both"/>
        <w:rPr>
          <w:rFonts w:cs="Tahoma"/>
          <w:i/>
          <w:i/>
          <w:color w:val="000000"/>
        </w:rPr>
      </w:pPr>
      <w:r>
        <w:rPr>
          <w:rFonts w:cs="Tahoma"/>
          <w:color w:val="000000"/>
        </w:rPr>
        <w:t>Guidelines for the investigation of complaints against staff members of incidents of alleged abuse</w:t>
      </w:r>
    </w:p>
    <w:p>
      <w:pPr>
        <w:pStyle w:val="Normal"/>
        <w:numPr>
          <w:ilvl w:val="0"/>
          <w:numId w:val="3"/>
        </w:numPr>
        <w:tabs>
          <w:tab w:val="left" w:pos="284" w:leader="none"/>
        </w:tabs>
        <w:spacing w:lineRule="auto" w:line="240" w:before="0" w:after="0"/>
        <w:ind w:left="284" w:hanging="284"/>
        <w:jc w:val="both"/>
        <w:rPr>
          <w:rFonts w:cs="Tahoma"/>
          <w:i/>
          <w:i/>
          <w:color w:val="000000"/>
        </w:rPr>
      </w:pPr>
      <w:r>
        <w:rPr>
          <w:rFonts w:cs="Tahoma"/>
          <w:color w:val="000000"/>
        </w:rPr>
        <w:t>Policy on staff supervisory support, communication and development</w:t>
      </w:r>
    </w:p>
    <w:p>
      <w:pPr>
        <w:pStyle w:val="Normal"/>
        <w:numPr>
          <w:ilvl w:val="0"/>
          <w:numId w:val="3"/>
        </w:numPr>
        <w:tabs>
          <w:tab w:val="left" w:pos="284" w:leader="none"/>
        </w:tabs>
        <w:spacing w:lineRule="auto" w:line="240" w:before="0" w:after="0"/>
        <w:ind w:left="284" w:hanging="284"/>
        <w:jc w:val="both"/>
        <w:rPr>
          <w:rFonts w:cs="Tahoma"/>
          <w:b/>
          <w:b/>
          <w:i/>
          <w:i/>
          <w:color w:val="000000"/>
        </w:rPr>
      </w:pPr>
      <w:r>
        <w:rPr>
          <w:rFonts w:cs="Tahoma"/>
          <w:b/>
          <w:color w:val="000000"/>
        </w:rPr>
        <w:t>Policy on stress, mental health and well-being at work</w:t>
      </w:r>
    </w:p>
    <w:p>
      <w:pPr>
        <w:pStyle w:val="Normal"/>
        <w:numPr>
          <w:ilvl w:val="0"/>
          <w:numId w:val="3"/>
        </w:numPr>
        <w:tabs>
          <w:tab w:val="left" w:pos="284" w:leader="none"/>
        </w:tabs>
        <w:spacing w:lineRule="auto" w:line="240" w:before="0" w:after="0"/>
        <w:ind w:left="284" w:hanging="284"/>
        <w:jc w:val="both"/>
        <w:rPr>
          <w:rFonts w:cs="Tahoma"/>
          <w:i/>
          <w:i/>
          <w:color w:val="000000"/>
        </w:rPr>
      </w:pPr>
      <w:r>
        <w:rPr>
          <w:rFonts w:cs="Tahoma"/>
          <w:color w:val="000000"/>
        </w:rPr>
        <w:t>Procedure on complaints for students, families and advocates</w:t>
      </w:r>
    </w:p>
    <w:p>
      <w:pPr>
        <w:pStyle w:val="Normal"/>
        <w:numPr>
          <w:ilvl w:val="0"/>
          <w:numId w:val="3"/>
        </w:numPr>
        <w:tabs>
          <w:tab w:val="left" w:pos="284" w:leader="none"/>
        </w:tabs>
        <w:spacing w:lineRule="auto" w:line="240" w:before="0" w:after="0"/>
        <w:ind w:left="284" w:hanging="284"/>
        <w:jc w:val="both"/>
        <w:rPr>
          <w:rFonts w:cs="Tahoma"/>
          <w:i/>
          <w:i/>
          <w:color w:val="000000"/>
        </w:rPr>
      </w:pPr>
      <w:r>
        <w:rPr>
          <w:rFonts w:cs="Tahoma"/>
          <w:color w:val="000000"/>
        </w:rPr>
        <w:t>Policy on the use of the internet</w:t>
      </w:r>
    </w:p>
    <w:p>
      <w:pPr>
        <w:pStyle w:val="Normal"/>
        <w:numPr>
          <w:ilvl w:val="0"/>
          <w:numId w:val="3"/>
        </w:numPr>
        <w:tabs>
          <w:tab w:val="left" w:pos="284" w:leader="none"/>
        </w:tabs>
        <w:spacing w:lineRule="auto" w:line="240" w:before="0" w:after="0"/>
        <w:ind w:left="284" w:hanging="284"/>
        <w:jc w:val="both"/>
        <w:rPr>
          <w:rFonts w:cs="Tahoma"/>
          <w:i/>
          <w:i/>
          <w:color w:val="000000"/>
        </w:rPr>
      </w:pPr>
      <w:r>
        <w:rPr>
          <w:rFonts w:cs="Tahoma"/>
          <w:color w:val="000000"/>
        </w:rPr>
        <w:t>Policy on public relations and involvement with the media</w:t>
      </w:r>
    </w:p>
    <w:p>
      <w:pPr>
        <w:pStyle w:val="Normal"/>
        <w:numPr>
          <w:ilvl w:val="0"/>
          <w:numId w:val="3"/>
        </w:numPr>
        <w:tabs>
          <w:tab w:val="left" w:pos="284" w:leader="none"/>
        </w:tabs>
        <w:spacing w:lineRule="auto" w:line="240" w:before="0" w:after="0"/>
        <w:ind w:left="284" w:hanging="284"/>
        <w:jc w:val="both"/>
        <w:rPr>
          <w:rFonts w:cs="Tahoma"/>
          <w:b/>
          <w:b/>
          <w:i/>
          <w:i/>
          <w:color w:val="000000"/>
        </w:rPr>
      </w:pPr>
      <w:r>
        <w:rPr>
          <w:rFonts w:cs="Tahoma"/>
          <w:b/>
          <w:color w:val="000000"/>
        </w:rPr>
        <w:t>Policy guidelines for responding to challenging behaviour</w:t>
      </w:r>
    </w:p>
    <w:p>
      <w:pPr>
        <w:pStyle w:val="Normal"/>
        <w:numPr>
          <w:ilvl w:val="0"/>
          <w:numId w:val="3"/>
        </w:numPr>
        <w:tabs>
          <w:tab w:val="left" w:pos="284" w:leader="none"/>
        </w:tabs>
        <w:spacing w:lineRule="auto" w:line="240" w:before="0" w:after="0"/>
        <w:ind w:left="284" w:hanging="284"/>
        <w:jc w:val="both"/>
        <w:rPr>
          <w:rFonts w:cs="Tahoma"/>
          <w:b/>
          <w:b/>
          <w:i/>
          <w:i/>
          <w:color w:val="000000"/>
        </w:rPr>
      </w:pPr>
      <w:r>
        <w:rPr>
          <w:rFonts w:cs="Tahoma"/>
          <w:b/>
          <w:color w:val="000000"/>
        </w:rPr>
        <w:t>Policy on alcohol and Substance</w:t>
      </w:r>
    </w:p>
    <w:p>
      <w:pPr>
        <w:pStyle w:val="Normal"/>
        <w:numPr>
          <w:ilvl w:val="0"/>
          <w:numId w:val="3"/>
        </w:numPr>
        <w:tabs>
          <w:tab w:val="left" w:pos="284" w:leader="none"/>
        </w:tabs>
        <w:spacing w:lineRule="auto" w:line="240" w:before="0" w:after="0"/>
        <w:ind w:left="284" w:hanging="284"/>
        <w:jc w:val="both"/>
        <w:rPr>
          <w:rFonts w:cs="Tahoma"/>
          <w:i/>
          <w:i/>
          <w:color w:val="000000"/>
        </w:rPr>
      </w:pPr>
      <w:r>
        <w:rPr>
          <w:rFonts w:cs="Tahoma"/>
          <w:color w:val="000000"/>
        </w:rPr>
        <w:t xml:space="preserve">Policy in respect of accessing records held by </w:t>
      </w:r>
      <w:r>
        <w:rPr>
          <w:color w:val="000000"/>
          <w:sz w:val="24"/>
          <w:szCs w:val="24"/>
        </w:rPr>
        <w:t xml:space="preserve">Togher Boys’ </w:t>
      </w:r>
      <w:r>
        <w:rPr>
          <w:rFonts w:cs="Tahoma"/>
          <w:color w:val="000000"/>
        </w:rPr>
        <w:t>National School</w:t>
      </w:r>
    </w:p>
    <w:p>
      <w:pPr>
        <w:pStyle w:val="Normal"/>
        <w:numPr>
          <w:ilvl w:val="0"/>
          <w:numId w:val="3"/>
        </w:numPr>
        <w:tabs>
          <w:tab w:val="left" w:pos="284" w:leader="none"/>
        </w:tabs>
        <w:spacing w:lineRule="auto" w:line="240" w:before="0" w:after="0"/>
        <w:ind w:left="284" w:hanging="284"/>
        <w:jc w:val="both"/>
        <w:rPr>
          <w:rFonts w:cs="Tahoma"/>
          <w:i/>
          <w:i/>
          <w:color w:val="000000"/>
        </w:rPr>
      </w:pPr>
      <w:r>
        <w:rPr>
          <w:rFonts w:cs="Tahoma"/>
          <w:color w:val="000000"/>
        </w:rPr>
        <w:t>Policy on reporting abuse</w:t>
      </w:r>
    </w:p>
    <w:p>
      <w:pPr>
        <w:pStyle w:val="Normal"/>
        <w:numPr>
          <w:ilvl w:val="0"/>
          <w:numId w:val="3"/>
        </w:numPr>
        <w:tabs>
          <w:tab w:val="left" w:pos="284" w:leader="none"/>
        </w:tabs>
        <w:spacing w:lineRule="auto" w:line="240" w:before="0" w:after="0"/>
        <w:ind w:left="284" w:hanging="284"/>
        <w:jc w:val="both"/>
        <w:rPr>
          <w:rFonts w:cs="Tahoma"/>
          <w:i/>
          <w:i/>
          <w:color w:val="000000"/>
        </w:rPr>
      </w:pPr>
      <w:r>
        <w:rPr>
          <w:rFonts w:cs="Tahoma"/>
          <w:color w:val="000000"/>
        </w:rPr>
        <w:t>Policy on enrolment.</w:t>
      </w:r>
    </w:p>
    <w:p>
      <w:pPr>
        <w:pStyle w:val="Normal"/>
        <w:spacing w:lineRule="auto" w:line="240" w:before="0" w:after="0"/>
        <w:jc w:val="both"/>
        <w:rPr>
          <w:rFonts w:cs="Tahoma"/>
          <w:i/>
          <w:i/>
          <w:color w:val="000000"/>
        </w:rPr>
      </w:pPr>
      <w:r>
        <w:rPr>
          <w:rFonts w:cs="Tahoma"/>
          <w:i/>
          <w:color w:val="000000"/>
        </w:rPr>
      </w:r>
    </w:p>
    <w:p>
      <w:pPr>
        <w:pStyle w:val="Normal"/>
        <w:numPr>
          <w:ilvl w:val="0"/>
          <w:numId w:val="3"/>
        </w:numPr>
        <w:tabs>
          <w:tab w:val="left" w:pos="284" w:leader="none"/>
        </w:tabs>
        <w:spacing w:lineRule="auto" w:line="240" w:before="0" w:after="0"/>
        <w:ind w:left="284" w:hanging="284"/>
        <w:jc w:val="both"/>
        <w:rPr>
          <w:rFonts w:cs="Tahoma"/>
          <w:i/>
          <w:i/>
          <w:color w:val="000000"/>
        </w:rPr>
      </w:pPr>
      <w:r>
        <w:rPr>
          <w:rFonts w:cs="Tahoma"/>
          <w:color w:val="000000"/>
        </w:rPr>
        <w:t>Policy on staff training and development</w:t>
      </w:r>
    </w:p>
    <w:p>
      <w:pPr>
        <w:pStyle w:val="Normal"/>
        <w:numPr>
          <w:ilvl w:val="0"/>
          <w:numId w:val="3"/>
        </w:numPr>
        <w:tabs>
          <w:tab w:val="left" w:pos="284" w:leader="none"/>
        </w:tabs>
        <w:spacing w:lineRule="auto" w:line="240" w:before="0" w:after="0"/>
        <w:ind w:left="284" w:hanging="284"/>
        <w:jc w:val="both"/>
        <w:rPr>
          <w:rFonts w:cs="Tahoma"/>
          <w:i/>
          <w:i/>
          <w:color w:val="000000"/>
        </w:rPr>
      </w:pPr>
      <w:r>
        <w:rPr>
          <w:rFonts w:cs="Tahoma"/>
          <w:color w:val="000000"/>
        </w:rPr>
        <w:t>Guidelines for mobile phones</w:t>
      </w:r>
    </w:p>
    <w:p>
      <w:pPr>
        <w:pStyle w:val="Normal"/>
        <w:numPr>
          <w:ilvl w:val="0"/>
          <w:numId w:val="3"/>
        </w:numPr>
        <w:tabs>
          <w:tab w:val="left" w:pos="284" w:leader="none"/>
        </w:tabs>
        <w:spacing w:lineRule="auto" w:line="240" w:before="0" w:after="0"/>
        <w:ind w:left="284" w:hanging="284"/>
        <w:jc w:val="both"/>
        <w:rPr>
          <w:rFonts w:cs="Tahoma"/>
          <w:i/>
          <w:i/>
          <w:color w:val="000000"/>
        </w:rPr>
      </w:pPr>
      <w:r>
        <w:rPr>
          <w:rFonts w:cs="Tahoma"/>
          <w:color w:val="000000"/>
        </w:rPr>
        <w:t>Policy on Garda clearance</w:t>
      </w:r>
    </w:p>
    <w:p>
      <w:pPr>
        <w:pStyle w:val="Normal"/>
        <w:spacing w:lineRule="auto" w:line="240"/>
        <w:ind w:firstLine="720"/>
        <w:rPr>
          <w:rFonts w:cs="Tahoma"/>
        </w:rPr>
      </w:pPr>
      <w:r>
        <w:rPr>
          <w:rFonts w:cs="Tahoma"/>
        </w:rPr>
      </w:r>
    </w:p>
    <w:p>
      <w:pPr>
        <w:pStyle w:val="Normal"/>
        <w:spacing w:lineRule="auto" w:line="240"/>
        <w:ind w:firstLine="720"/>
        <w:rPr>
          <w:rFonts w:cs="Tahoma"/>
        </w:rPr>
      </w:pPr>
      <w:r>
        <w:rPr>
          <w:rFonts w:cs="Tahoma"/>
        </w:rPr>
      </w:r>
    </w:p>
    <w:p>
      <w:pPr>
        <w:pStyle w:val="Normal"/>
        <w:spacing w:lineRule="auto" w:line="240"/>
        <w:ind w:firstLine="720"/>
        <w:rPr>
          <w:rFonts w:cs="Tahoma"/>
        </w:rPr>
      </w:pPr>
      <w:r>
        <w:rPr>
          <w:rFonts w:cs="Tahoma"/>
        </w:rPr>
      </w:r>
    </w:p>
    <w:p>
      <w:pPr>
        <w:pStyle w:val="Normal"/>
        <w:spacing w:lineRule="auto" w:line="240"/>
        <w:ind w:firstLine="720"/>
        <w:rPr>
          <w:rFonts w:cs="Tahoma"/>
        </w:rPr>
      </w:pPr>
      <w:r>
        <w:rPr>
          <w:rFonts w:cs="Tahoma"/>
        </w:rPr>
      </w:r>
    </w:p>
    <w:p>
      <w:pPr>
        <w:pStyle w:val="Normal"/>
        <w:spacing w:lineRule="auto" w:line="240"/>
        <w:ind w:firstLine="720"/>
        <w:rPr>
          <w:rFonts w:cs="Tahoma"/>
        </w:rPr>
      </w:pPr>
      <w:r>
        <w:rPr>
          <w:rFonts w:cs="Tahoma"/>
        </w:rPr>
      </w:r>
    </w:p>
    <w:p>
      <w:pPr>
        <w:pStyle w:val="Normal"/>
        <w:spacing w:lineRule="auto" w:line="240"/>
        <w:ind w:firstLine="720"/>
        <w:rPr>
          <w:rFonts w:cs="Tahoma"/>
        </w:rPr>
      </w:pPr>
      <w:r>
        <w:rPr>
          <w:rFonts w:cs="Tahoma"/>
        </w:rPr>
      </w:r>
    </w:p>
    <w:p>
      <w:pPr>
        <w:pStyle w:val="Normal"/>
        <w:spacing w:lineRule="auto" w:line="240"/>
        <w:ind w:firstLine="720"/>
        <w:rPr>
          <w:rFonts w:cs="Tahoma"/>
        </w:rPr>
      </w:pPr>
      <w:r>
        <w:rPr>
          <w:rFonts w:cs="Tahoma"/>
        </w:rPr>
      </w:r>
    </w:p>
    <w:p>
      <w:pPr>
        <w:pStyle w:val="Normal"/>
        <w:spacing w:lineRule="auto" w:line="240"/>
        <w:ind w:firstLine="720"/>
        <w:rPr>
          <w:rFonts w:cs="Tahoma"/>
        </w:rPr>
      </w:pPr>
      <w:r>
        <w:rPr>
          <w:rFonts w:cs="Tahoma"/>
        </w:rPr>
      </w:r>
    </w:p>
    <w:p>
      <w:pPr>
        <w:pStyle w:val="Normal"/>
        <w:spacing w:lineRule="auto" w:line="240"/>
        <w:ind w:firstLine="720"/>
        <w:rPr>
          <w:rFonts w:cs="Tahoma"/>
        </w:rPr>
      </w:pPr>
      <w:r>
        <w:rPr>
          <w:rFonts w:cs="Tahoma"/>
        </w:rPr>
      </w:r>
    </w:p>
    <w:p>
      <w:pPr>
        <w:pStyle w:val="Normal"/>
        <w:spacing w:lineRule="auto" w:line="240"/>
        <w:ind w:firstLine="720"/>
        <w:rPr>
          <w:rFonts w:cs="Tahoma"/>
        </w:rPr>
      </w:pPr>
      <w:r>
        <w:rPr>
          <w:rFonts w:cs="Tahoma"/>
        </w:rPr>
      </w:r>
    </w:p>
    <w:p>
      <w:pPr>
        <w:pStyle w:val="Heading1"/>
        <w:spacing w:lineRule="auto" w:line="240"/>
        <w:rPr>
          <w:rFonts w:ascii="Calibri" w:hAnsi="Calibri"/>
        </w:rPr>
      </w:pPr>
      <w:bookmarkStart w:id="80" w:name="_Toc244923624"/>
      <w:bookmarkEnd w:id="80"/>
      <w:r>
        <w:rPr>
          <w:rFonts w:ascii="Calibri" w:hAnsi="Calibri"/>
        </w:rPr>
        <w:t>25. Occupational health and safety safe working procedures – Local and General Risk Assessments</w:t>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tabs>
          <w:tab w:val="left" w:pos="3540" w:leader="none"/>
        </w:tabs>
        <w:spacing w:lineRule="auto" w:line="240"/>
        <w:rPr>
          <w:rFonts w:cs="Tahoma"/>
        </w:rPr>
      </w:pPr>
      <w:r>
        <w:rPr>
          <w:rFonts w:cs="Tahoma"/>
        </w:rPr>
        <w:tab/>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rPr>
          <w:rFonts w:cs="Tahoma"/>
        </w:rPr>
      </w:pPr>
      <w:r>
        <w:rPr>
          <w:rFonts w:cs="Tahoma"/>
        </w:rPr>
      </w:r>
    </w:p>
    <w:p>
      <w:pPr>
        <w:pStyle w:val="Normal"/>
        <w:spacing w:lineRule="auto" w:line="240" w:before="0" w:after="200"/>
        <w:rPr/>
      </w:pPr>
      <w:r>
        <w:rPr/>
      </w:r>
    </w:p>
    <w:sectPr>
      <w:headerReference w:type="default" r:id="rId13"/>
      <w:footerReference w:type="default" r:id="rId14"/>
      <w:type w:val="nextPage"/>
      <w:pgSz w:w="11906" w:h="16838"/>
      <w:pgMar w:left="851" w:right="1440" w:header="708" w:top="1440" w:footer="708" w:bottom="1440"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Tahoma">
    <w:charset w:val="00"/>
    <w:family w:val="roman"/>
    <w:pitch w:val="variable"/>
  </w:font>
  <w:font w:name="BMWTypeRegular">
    <w:charset w:val="00"/>
    <w:family w:val="roman"/>
    <w:pitch w:val="variable"/>
  </w:font>
  <w:font w:name="Arial">
    <w:charset w:val="00"/>
    <w:family w:val="roman"/>
    <w:pitch w:val="variable"/>
  </w:font>
  <w:font w:name="Cambria">
    <w:charset w:val="00"/>
    <w:family w:val="roman"/>
    <w:pitch w:val="variable"/>
  </w:font>
  <w:font w:name="Liberation Sans">
    <w:altName w:val="Arial"/>
    <w:charset w:val="00"/>
    <w:family w:val="swiss"/>
    <w:pitch w:val="variable"/>
  </w:font>
  <w:font w:name="Palace Script MT">
    <w:charset w:val="00"/>
    <w:family w:val="roman"/>
    <w:pitch w:val="variable"/>
  </w:font>
  <w:font w:name="Script MT Bold">
    <w:charset w:val="00"/>
    <w:family w:val="roman"/>
    <w:pitch w:val="variable"/>
  </w:font>
  <w:font w:name="Courier New">
    <w:charset w:val="01"/>
    <w:family w:val="modern"/>
    <w:pitch w:val="fixed"/>
  </w:font>
  <w:font w:name="Wingdings">
    <w:charset w:val="02"/>
    <w:family w:val="auto"/>
    <w:pitch w:val="variable"/>
  </w:font>
  <w:font w:name="Calibri">
    <w:charset w:val="01"/>
    <w:family w:val="swiss"/>
    <w:pitch w:val="variable"/>
  </w:font>
  <w:font w:name="Times New Roman">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right"/>
      <w:rPr/>
    </w:pPr>
    <w:r>
      <w:rPr/>
      <w:t xml:space="preserve">Page | </w:t>
    </w:r>
    <w:r>
      <w:rPr/>
      <w:fldChar w:fldCharType="begin"/>
    </w:r>
    <w:r>
      <w:instrText> PAGE </w:instrText>
    </w:r>
    <w:r>
      <w:fldChar w:fldCharType="separate"/>
    </w:r>
    <w:r>
      <w:t>43</w:t>
    </w:r>
    <w:r>
      <w:fldChar w:fldCharType="end"/>
    </w:r>
    <w:r>
      <w:rPr/>
      <w:t xml:space="preserve"> </w:t>
    </w:r>
  </w:p>
  <w:p>
    <w:pPr>
      <w:pStyle w:val="Footer"/>
      <w:rPr>
        <w:rFonts w:ascii="Arial" w:hAnsi="Arial" w:cs="Arial"/>
        <w:b/>
        <w:b/>
        <w:lang w:val="en-IE"/>
      </w:rPr>
    </w:pPr>
    <w:r>
      <w:rPr>
        <w:rFonts w:cs="Arial" w:ascii="Arial" w:hAnsi="Arial"/>
        <w:b/>
        <w:lang w:val="en-IE"/>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low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340" w:hanging="360"/>
      </w:pPr>
    </w:lvl>
    <w:lvl w:ilvl="3">
      <w:start w:val="1"/>
      <w:numFmt w:val="lowerLetter"/>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lvl w:ilvl="0">
      <w:start w:val="1"/>
      <w:numFmt w:val="low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340" w:hanging="360"/>
      </w:pPr>
    </w:lvl>
    <w:lvl w:ilvl="3">
      <w:start w:val="1"/>
      <w:numFmt w:val="lowerLetter"/>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Fonts w:cs="Courier New"/>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Fonts w:cs="Courier New"/>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Fonts w:cs="Courier New"/>
      </w:rPr>
    </w:lvl>
    <w:lvl w:ilvl="8">
      <w:start w:val="1"/>
      <w:numFmt w:val="bullet"/>
      <w:lvlText w:val=""/>
      <w:lvlJc w:val="left"/>
      <w:pPr>
        <w:tabs>
          <w:tab w:val="num" w:pos="6480"/>
        </w:tabs>
        <w:ind w:left="6480" w:hanging="360"/>
      </w:pPr>
      <w:rPr>
        <w:rFonts w:ascii="Wingdings" w:hAnsi="Wingdings" w:cs="Wingdings" w:hint="default"/>
      </w:rPr>
    </w:lvl>
  </w:abstractNum>
  <w:abstractNum w:abstractNumId="4">
    <w:lvl w:ilvl="0">
      <w:start w:val="1"/>
      <w:numFmt w:val="decimal"/>
      <w:lvlText w:val="%1."/>
      <w:lvlJc w:val="left"/>
      <w:pPr>
        <w:tabs>
          <w:tab w:val="num" w:pos="360"/>
        </w:tabs>
        <w:ind w:left="340" w:hanging="34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lvl w:ilvl="0">
      <w:start w:val="1"/>
      <w:numFmt w:val="decimal"/>
      <w:lvlText w:val="%1."/>
      <w:lvlJc w:val="left"/>
      <w:pPr>
        <w:ind w:left="644" w:hanging="360"/>
      </w:pPr>
    </w:lvl>
    <w:lvl w:ilvl="1">
      <w:start w:val="1"/>
      <w:numFmt w:val="decimal"/>
      <w:lvlText w:val="%2)"/>
      <w:lvlJc w:val="left"/>
      <w:pPr>
        <w:ind w:left="1364" w:hanging="360"/>
      </w:pPr>
      <w:rPr>
        <w:b/>
      </w:rPr>
    </w:lvl>
    <w:lvl w:ilvl="2">
      <w:start w:val="5"/>
      <w:numFmt w:val="bullet"/>
      <w:lvlText w:val="•"/>
      <w:lvlJc w:val="left"/>
      <w:pPr>
        <w:ind w:left="2264" w:hanging="360"/>
      </w:pPr>
      <w:rPr>
        <w:rFonts w:ascii="Calibri" w:hAnsi="Calibri" w:cs="Calibri" w:hint="default"/>
        <w:rFonts w:cs="Tahoma"/>
      </w:r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lvl w:ilvl="0">
      <w:start w:val="1"/>
      <w:numFmt w:val="decimal"/>
      <w:lvlText w:val="%1."/>
      <w:lvlJc w:val="left"/>
      <w:pPr>
        <w:ind w:left="720" w:hanging="360"/>
      </w:pPr>
    </w:lvl>
    <w:lvl w:ilvl="1">
      <w:start w:val="1"/>
      <w:numFmt w:val="bullet"/>
      <w:lvlText w:val="•"/>
      <w:lvlJc w:val="left"/>
      <w:pPr>
        <w:ind w:left="1440" w:hanging="360"/>
      </w:pPr>
      <w:rPr>
        <w:rFonts w:ascii="Times New Roman" w:hAnsi="Times New Roman" w:cs="Times New Roman" w:hint="default"/>
        <w:rFonts w:cs="Times New Roman"/>
      </w:rPr>
    </w:lvl>
    <w:lvl w:ilvl="2">
      <w:start w:val="1"/>
      <w:numFmt w:val="decimal"/>
      <w:lvlText w:val="%3."/>
      <w:lvlJc w:val="left"/>
      <w:pPr>
        <w:ind w:left="2340" w:hanging="360"/>
      </w:pPr>
    </w:lvl>
    <w:lvl w:ilvl="3">
      <w:start w:val="1"/>
      <w:numFmt w:val="lowerLetter"/>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lvl w:ilvl="0">
      <w:start w:val="1"/>
      <w:numFmt w:val="decimal"/>
      <w:lvlText w:val="%1."/>
      <w:lvlJc w:val="left"/>
      <w:pPr>
        <w:ind w:left="1440" w:hanging="360"/>
      </w:pPr>
    </w:lvl>
    <w:lvl w:ilvl="1">
      <w:start w:val="1"/>
      <w:numFmt w:val="decimal"/>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3">
    <w:lvl w:ilvl="0">
      <w:start w:val="1"/>
      <w:numFmt w:val="lowerLetter"/>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lvl w:ilvl="0">
      <w:start w:val="1"/>
      <w:numFmt w:val="decimal"/>
      <w:lvlText w:val="%1."/>
      <w:lvlJc w:val="left"/>
      <w:pPr>
        <w:ind w:left="720" w:hanging="360"/>
      </w:pPr>
    </w:lvl>
    <w:lvl w:ilvl="1">
      <w:start w:val="1"/>
      <w:numFmt w:val="lowerLetter"/>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lvl w:ilvl="0">
      <w:start w:val="1"/>
      <w:numFmt w:val="decimal"/>
      <w:lvlText w:val="%1."/>
      <w:lvlJc w:val="left"/>
      <w:pPr>
        <w:ind w:left="720" w:hanging="360"/>
      </w:pPr>
    </w:lvl>
    <w:lvl w:ilvl="1">
      <w:start w:val="1"/>
      <w:numFmt w:val="lowerLetter"/>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lvl w:ilvl="0">
      <w:start w:val="1"/>
      <w:numFmt w:val="decimal"/>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lvl w:ilvl="0">
      <w:start w:val="1"/>
      <w:numFmt w:val="lowerLetter"/>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decimal"/>
      <w:lvlText w:val="%3."/>
      <w:lvlJc w:val="lef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lvl w:ilvl="0">
      <w:start w:val="1"/>
      <w:numFmt w:val="decimal"/>
      <w:lvlText w:val="%1."/>
      <w:lvlJc w:val="left"/>
      <w:pPr>
        <w:tabs>
          <w:tab w:val="num" w:pos="1077"/>
        </w:tabs>
        <w:ind w:left="1077" w:hanging="360"/>
      </w:pPr>
    </w:lvl>
    <w:lvl w:ilvl="1">
      <w:start w:val="1"/>
      <w:numFmt w:val="lowerLetter"/>
      <w:lvlText w:val="%2."/>
      <w:lvlJc w:val="left"/>
      <w:pPr>
        <w:tabs>
          <w:tab w:val="num" w:pos="1797"/>
        </w:tabs>
        <w:ind w:left="1797" w:hanging="360"/>
      </w:pPr>
    </w:lvl>
    <w:lvl w:ilvl="2">
      <w:start w:val="1"/>
      <w:numFmt w:val="lowerRoman"/>
      <w:lvlText w:val="%3."/>
      <w:lvlJc w:val="right"/>
      <w:pPr>
        <w:tabs>
          <w:tab w:val="num" w:pos="2517"/>
        </w:tabs>
        <w:ind w:left="2517" w:hanging="180"/>
      </w:pPr>
    </w:lvl>
    <w:lvl w:ilvl="3">
      <w:start w:val="1"/>
      <w:numFmt w:val="decimal"/>
      <w:lvlText w:val="%4."/>
      <w:lvlJc w:val="left"/>
      <w:pPr>
        <w:tabs>
          <w:tab w:val="num" w:pos="3237"/>
        </w:tabs>
        <w:ind w:left="3237" w:hanging="360"/>
      </w:pPr>
    </w:lvl>
    <w:lvl w:ilvl="4">
      <w:start w:val="1"/>
      <w:numFmt w:val="lowerLetter"/>
      <w:lvlText w:val="%5."/>
      <w:lvlJc w:val="left"/>
      <w:pPr>
        <w:tabs>
          <w:tab w:val="num" w:pos="3957"/>
        </w:tabs>
        <w:ind w:left="3957" w:hanging="360"/>
      </w:pPr>
    </w:lvl>
    <w:lvl w:ilvl="5">
      <w:start w:val="1"/>
      <w:numFmt w:val="lowerRoman"/>
      <w:lvlText w:val="%6."/>
      <w:lvlJc w:val="right"/>
      <w:pPr>
        <w:tabs>
          <w:tab w:val="num" w:pos="4677"/>
        </w:tabs>
        <w:ind w:left="4677" w:hanging="180"/>
      </w:pPr>
    </w:lvl>
    <w:lvl w:ilvl="6">
      <w:start w:val="1"/>
      <w:numFmt w:val="decimal"/>
      <w:lvlText w:val="%7."/>
      <w:lvlJc w:val="left"/>
      <w:pPr>
        <w:tabs>
          <w:tab w:val="num" w:pos="5397"/>
        </w:tabs>
        <w:ind w:left="5397" w:hanging="360"/>
      </w:pPr>
    </w:lvl>
    <w:lvl w:ilvl="7">
      <w:start w:val="1"/>
      <w:numFmt w:val="lowerLetter"/>
      <w:lvlText w:val="%8."/>
      <w:lvlJc w:val="left"/>
      <w:pPr>
        <w:tabs>
          <w:tab w:val="num" w:pos="6117"/>
        </w:tabs>
        <w:ind w:left="6117" w:hanging="360"/>
      </w:pPr>
    </w:lvl>
    <w:lvl w:ilvl="8">
      <w:start w:val="1"/>
      <w:numFmt w:val="lowerRoman"/>
      <w:lvlText w:val="%9."/>
      <w:lvlJc w:val="right"/>
      <w:pPr>
        <w:tabs>
          <w:tab w:val="num" w:pos="6837"/>
        </w:tabs>
        <w:ind w:left="6837" w:hanging="180"/>
      </w:pPr>
    </w:lvl>
  </w:abstractNum>
  <w:abstractNum w:abstractNumId="21">
    <w:lvl w:ilvl="0">
      <w:start w:val="1"/>
      <w:numFmt w:val="lowerLetter"/>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3">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4">
    <w:lvl w:ilvl="0">
      <w:start w:val="1"/>
      <w:numFmt w:val="lowerLetter"/>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lvl w:ilvl="0">
      <w:start w:val="1"/>
      <w:numFmt w:val="lowerLetter"/>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lvl w:ilvl="0">
      <w:start w:val="1"/>
      <w:numFmt w:val="lowerLetter"/>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lvl w:ilvl="0">
      <w:start w:val="1"/>
      <w:numFmt w:val="bullet"/>
      <w:lvlText w:val=""/>
      <w:lvlJc w:val="left"/>
      <w:pPr>
        <w:ind w:left="720" w:hanging="360"/>
      </w:pPr>
      <w:rPr>
        <w:rFonts w:ascii="Wingdings" w:hAnsi="Wingdings" w:cs="Wingdings" w:hint="default"/>
      </w:rPr>
    </w:lvl>
    <w:lvl w:ilvl="1">
      <w:start w:val="1"/>
      <w:numFmt w:val="decimal"/>
      <w:lvlText w:val="%2."/>
      <w:lvlJc w:val="left"/>
      <w:pPr>
        <w:ind w:left="1440" w:hanging="360"/>
      </w:p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29">
    <w:lvl w:ilvl="0">
      <w:start w:val="1"/>
      <w:numFmt w:val="lowerLetter"/>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340" w:hanging="360"/>
      </w:pPr>
    </w:lvl>
    <w:lvl w:ilvl="3">
      <w:start w:val="1"/>
      <w:numFmt w:val="lowerLetter"/>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lvl w:ilvl="0">
      <w:start w:val="1"/>
      <w:numFmt w:val="bullet"/>
      <w:lvlText w:val=""/>
      <w:lvlJc w:val="left"/>
      <w:pPr>
        <w:ind w:left="720" w:hanging="360"/>
      </w:pPr>
      <w:rPr>
        <w:rFonts w:ascii="Wingdings" w:hAnsi="Wingdings" w:cs="Wingdings" w:hint="default"/>
      </w:rPr>
    </w:lvl>
    <w:lvl w:ilvl="1">
      <w:start w:val="1"/>
      <w:numFmt w:val="decimal"/>
      <w:lvlText w:val="%2."/>
      <w:lvlJc w:val="left"/>
      <w:pPr>
        <w:ind w:left="1440" w:hanging="360"/>
      </w:p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31">
    <w:lvl w:ilvl="0">
      <w:start w:val="1"/>
      <w:numFmt w:val="bullet"/>
      <w:lvlText w:val=""/>
      <w:lvlJc w:val="left"/>
      <w:pPr>
        <w:ind w:left="720" w:hanging="360"/>
      </w:pPr>
      <w:rPr>
        <w:rFonts w:ascii="Wingdings" w:hAnsi="Wingdings" w:cs="Wingdings" w:hint="default"/>
      </w:rPr>
    </w:lvl>
    <w:lvl w:ilvl="1">
      <w:start w:val="1"/>
      <w:numFmt w:val="decimal"/>
      <w:lvlText w:val="%2."/>
      <w:lvlJc w:val="left"/>
      <w:pPr>
        <w:ind w:left="1440" w:hanging="360"/>
      </w:p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32">
    <w:lvl w:ilvl="0">
      <w:start w:val="1"/>
      <w:numFmt w:val="bullet"/>
      <w:lvlText w:val=""/>
      <w:lvlJc w:val="left"/>
      <w:pPr>
        <w:ind w:left="720" w:hanging="360"/>
      </w:pPr>
      <w:rPr>
        <w:rFonts w:ascii="Wingdings" w:hAnsi="Wingdings" w:cs="Wingdings" w:hint="default"/>
      </w:rPr>
    </w:lvl>
    <w:lvl w:ilvl="1">
      <w:start w:val="1"/>
      <w:numFmt w:val="decimal"/>
      <w:lvlText w:val="%2."/>
      <w:lvlJc w:val="left"/>
      <w:pPr>
        <w:ind w:left="1440" w:hanging="360"/>
      </w:p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33">
    <w:lvl w:ilvl="0">
      <w:start w:val="1"/>
      <w:numFmt w:val="bullet"/>
      <w:lvlText w:val=""/>
      <w:lvlJc w:val="left"/>
      <w:pPr>
        <w:ind w:left="720" w:hanging="360"/>
      </w:pPr>
      <w:rPr>
        <w:rFonts w:ascii="Wingdings" w:hAnsi="Wingdings" w:cs="Wingdings" w:hint="default"/>
      </w:rPr>
    </w:lvl>
    <w:lvl w:ilvl="1">
      <w:start w:val="1"/>
      <w:numFmt w:val="decimal"/>
      <w:lvlText w:val="%2."/>
      <w:lvlJc w:val="left"/>
      <w:pPr>
        <w:ind w:left="1440" w:hanging="360"/>
      </w:p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34">
    <w:lvl w:ilvl="0">
      <w:start w:val="1"/>
      <w:numFmt w:val="decimal"/>
      <w:lvlText w:val="%1."/>
      <w:lvlJc w:val="left"/>
      <w:pPr>
        <w:ind w:left="720" w:hanging="360"/>
      </w:p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35">
    <w:lvl w:ilvl="0">
      <w:start w:val="1"/>
      <w:numFmt w:val="decimal"/>
      <w:lvlText w:val="%1."/>
      <w:lvlJc w:val="left"/>
      <w:pPr>
        <w:ind w:left="720" w:hanging="360"/>
      </w:p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36">
    <w:lvl w:ilvl="0">
      <w:start w:val="1"/>
      <w:numFmt w:val="bullet"/>
      <w:lvlText w:val=""/>
      <w:lvlJc w:val="left"/>
      <w:pPr>
        <w:ind w:left="720" w:hanging="360"/>
      </w:pPr>
      <w:rPr>
        <w:rFonts w:ascii="Wingdings" w:hAnsi="Wingdings" w:cs="Wingdings" w:hint="default"/>
      </w:rPr>
    </w:lvl>
    <w:lvl w:ilvl="1">
      <w:start w:val="1"/>
      <w:numFmt w:val="decimal"/>
      <w:lvlText w:val="%2."/>
      <w:lvlJc w:val="left"/>
      <w:pPr>
        <w:ind w:left="1440" w:hanging="360"/>
      </w:p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3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lvl w:ilvl="0">
      <w:start w:val="1"/>
      <w:numFmt w:val="lowerLetter"/>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lvl w:ilvl="0">
      <w:start w:val="1"/>
      <w:numFmt w:val="lowerLetter"/>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lvl w:ilvl="0">
      <w:start w:val="1"/>
      <w:numFmt w:val="decimal"/>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lvl w:ilvl="0">
      <w:start w:val="1"/>
      <w:numFmt w:val="decimal"/>
      <w:lvlText w:val="%1."/>
      <w:lvlJc w:val="left"/>
      <w:pPr>
        <w:ind w:left="720" w:hanging="360"/>
      </w:p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42">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7">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bering>
</file>

<file path=word/settings.xml><?xml version="1.0" encoding="utf-8"?>
<w:settings xmlns:w="http://schemas.openxmlformats.org/wordprocessingml/2006/main">
  <w:zoom w:percent="100"/>
  <w:defaultTabStop w:val="72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IE"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lang w:val="en-IE" w:eastAsia="en-IE" w:bidi="ar-SA"/>
      </w:rPr>
    </w:rPrDefault>
    <w:pPrDefault>
      <w:pPr/>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0" w:semiHidden="1" w:unhideWhenUsed="1"/>
    <w:lsdException w:name="toc 4" w:uiPriority="0" w:semiHidden="1" w:unhideWhenUsed="1"/>
    <w:lsdException w:name="toc 5" w:uiPriority="0" w:semiHidden="1" w:unhideWhenUsed="1"/>
    <w:lsdException w:name="toc 6" w:uiPriority="0" w:semiHidden="1" w:unhideWhenUsed="1"/>
    <w:lsdException w:name="toc 7" w:uiPriority="0" w:semiHidden="1" w:unhideWhenUsed="1"/>
    <w:lsdException w:name="toc 8" w:uiPriority="0" w:semiHidden="1" w:unhideWhenUsed="1"/>
    <w:lsdException w:name="toc 9" w:uiPriority="0"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uiPriority="0" w:semiHidden="1" w:unhideWhenUsed="1"/>
    <w:lsdException w:name="index heading" w:uiPriority="0"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uiPriority="0"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semiHidden="1" w:unhideWhenUsed="1"/>
    <w:lsdException w:name="Body Text Indent 3" w:uiPriority="0"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uiPriority="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e15c84"/>
    <w:pPr>
      <w:widowControl/>
      <w:bidi w:val="0"/>
      <w:spacing w:lineRule="auto" w:line="276" w:before="0" w:after="200"/>
      <w:jc w:val="left"/>
    </w:pPr>
    <w:rPr>
      <w:rFonts w:ascii="Calibri" w:hAnsi="Calibri" w:eastAsia="Calibri" w:cs="Times New Roman"/>
      <w:color w:val="auto"/>
      <w:sz w:val="22"/>
      <w:szCs w:val="22"/>
      <w:lang w:eastAsia="en-US" w:val="en-IE" w:bidi="ar-SA"/>
    </w:rPr>
  </w:style>
  <w:style w:type="paragraph" w:styleId="Heading1">
    <w:name w:val="Heading 1"/>
    <w:basedOn w:val="Normal"/>
    <w:next w:val="Normal"/>
    <w:link w:val="Heading1Char"/>
    <w:autoRedefine/>
    <w:qFormat/>
    <w:rsid w:val="00a43b3c"/>
    <w:pPr>
      <w:keepNext/>
      <w:keepLines/>
      <w:spacing w:before="480" w:after="0"/>
      <w:outlineLvl w:val="0"/>
    </w:pPr>
    <w:rPr>
      <w:rFonts w:ascii="Tahoma" w:hAnsi="Tahoma" w:eastAsia="Times New Roman" w:cs="Tahoma"/>
      <w:b/>
      <w:bCs/>
      <w:smallCaps/>
      <w:sz w:val="26"/>
      <w:szCs w:val="26"/>
    </w:rPr>
  </w:style>
  <w:style w:type="paragraph" w:styleId="Heading2">
    <w:name w:val="Heading 2"/>
    <w:basedOn w:val="Normal"/>
    <w:next w:val="Normal"/>
    <w:link w:val="Heading2Char"/>
    <w:autoRedefine/>
    <w:qFormat/>
    <w:rsid w:val="00a43b3c"/>
    <w:pPr>
      <w:keepNext/>
      <w:keepLines/>
      <w:spacing w:before="200" w:after="0"/>
      <w:outlineLvl w:val="1"/>
    </w:pPr>
    <w:rPr>
      <w:rFonts w:ascii="Tahoma" w:hAnsi="Tahoma" w:eastAsia="Times New Roman" w:cs="Tahoma"/>
      <w:b/>
      <w:bCs/>
      <w:smallCaps/>
      <w:szCs w:val="26"/>
    </w:rPr>
  </w:style>
  <w:style w:type="paragraph" w:styleId="Heading3">
    <w:name w:val="Heading 3"/>
    <w:basedOn w:val="Normal"/>
    <w:next w:val="Normal"/>
    <w:link w:val="Heading3Char"/>
    <w:autoRedefine/>
    <w:qFormat/>
    <w:rsid w:val="00a43b3c"/>
    <w:pPr>
      <w:keepNext/>
      <w:keepLines/>
      <w:spacing w:lineRule="auto" w:line="240" w:before="200" w:after="0"/>
      <w:outlineLvl w:val="2"/>
    </w:pPr>
    <w:rPr>
      <w:rFonts w:eastAsia="Times New Roman" w:cs="Tahoma"/>
      <w:b/>
      <w:bCs/>
    </w:rPr>
  </w:style>
  <w:style w:type="paragraph" w:styleId="Heading4">
    <w:name w:val="Heading 4"/>
    <w:basedOn w:val="Normal"/>
    <w:next w:val="Normal"/>
    <w:link w:val="Heading4Char"/>
    <w:autoRedefine/>
    <w:qFormat/>
    <w:rsid w:val="00e7529b"/>
    <w:pPr>
      <w:keepNext/>
      <w:spacing w:before="240" w:after="60"/>
      <w:outlineLvl w:val="3"/>
    </w:pPr>
    <w:rPr>
      <w:rFonts w:ascii="BMWTypeRegular" w:hAnsi="BMWTypeRegular" w:eastAsia="Times New Roman"/>
      <w:b/>
      <w:bCs/>
      <w:szCs w:val="28"/>
    </w:rPr>
  </w:style>
  <w:style w:type="paragraph" w:styleId="Heading5">
    <w:name w:val="Heading 5"/>
    <w:basedOn w:val="Normal"/>
    <w:next w:val="Normal"/>
    <w:link w:val="Heading5Char"/>
    <w:qFormat/>
    <w:rsid w:val="00e15c84"/>
    <w:pPr>
      <w:keepNext/>
      <w:widowControl w:val="false"/>
      <w:spacing w:lineRule="auto" w:line="240" w:before="0" w:after="0"/>
      <w:ind w:left="4678" w:hanging="4678"/>
      <w:outlineLvl w:val="4"/>
    </w:pPr>
    <w:rPr>
      <w:rFonts w:ascii="Arial" w:hAnsi="Arial" w:eastAsia="Times New Roman"/>
      <w:b/>
      <w:color w:val="000000"/>
      <w:sz w:val="24"/>
      <w:szCs w:val="20"/>
      <w:lang w:val="en-US"/>
    </w:rPr>
  </w:style>
  <w:style w:type="paragraph" w:styleId="Heading6">
    <w:name w:val="Heading 6"/>
    <w:basedOn w:val="Normal"/>
    <w:next w:val="Normal"/>
    <w:link w:val="Heading6Char"/>
    <w:qFormat/>
    <w:rsid w:val="00e15c84"/>
    <w:pPr>
      <w:keepNext/>
      <w:widowControl w:val="false"/>
      <w:spacing w:lineRule="auto" w:line="240" w:before="0" w:after="0"/>
      <w:ind w:left="567" w:hanging="0"/>
      <w:outlineLvl w:val="5"/>
    </w:pPr>
    <w:rPr>
      <w:rFonts w:ascii="Arial" w:hAnsi="Arial" w:eastAsia="Times New Roman"/>
      <w:b/>
      <w:color w:val="000000"/>
      <w:szCs w:val="20"/>
      <w:lang w:val="en-US"/>
    </w:rPr>
  </w:style>
  <w:style w:type="paragraph" w:styleId="Heading7">
    <w:name w:val="Heading 7"/>
    <w:basedOn w:val="Normal"/>
    <w:next w:val="Normal"/>
    <w:link w:val="Heading7Char"/>
    <w:qFormat/>
    <w:rsid w:val="00e15c84"/>
    <w:pPr>
      <w:keepNext/>
      <w:widowControl w:val="false"/>
      <w:spacing w:lineRule="auto" w:line="240" w:before="0" w:after="0"/>
      <w:outlineLvl w:val="6"/>
    </w:pPr>
    <w:rPr>
      <w:rFonts w:ascii="Arial" w:hAnsi="Arial" w:eastAsia="Times New Roman"/>
      <w:b/>
      <w:i/>
      <w:color w:val="000000"/>
      <w:szCs w:val="20"/>
      <w:lang w:val="en-US"/>
    </w:rPr>
  </w:style>
  <w:style w:type="paragraph" w:styleId="Heading8">
    <w:name w:val="Heading 8"/>
    <w:basedOn w:val="Normal"/>
    <w:next w:val="Normal"/>
    <w:link w:val="Heading8Char"/>
    <w:qFormat/>
    <w:rsid w:val="00e15c84"/>
    <w:pPr>
      <w:keepNext/>
      <w:widowControl w:val="false"/>
      <w:shd w:val="pct15" w:color="auto" w:fill="FFFFFF"/>
      <w:spacing w:lineRule="auto" w:line="240" w:before="0" w:after="0"/>
      <w:jc w:val="center"/>
      <w:outlineLvl w:val="7"/>
    </w:pPr>
    <w:rPr>
      <w:rFonts w:ascii="Arial" w:hAnsi="Arial" w:eastAsia="Times New Roman"/>
      <w:b/>
      <w:color w:val="000000"/>
      <w:sz w:val="28"/>
      <w:szCs w:val="20"/>
      <w:lang w:val="en-US"/>
    </w:rPr>
  </w:style>
  <w:style w:type="paragraph" w:styleId="Heading9">
    <w:name w:val="Heading 9"/>
    <w:basedOn w:val="Normal"/>
    <w:next w:val="Normal"/>
    <w:link w:val="Heading9Char"/>
    <w:qFormat/>
    <w:rsid w:val="00e15c84"/>
    <w:pPr>
      <w:keepNext/>
      <w:widowControl w:val="false"/>
      <w:spacing w:lineRule="auto" w:line="240" w:before="120" w:after="120"/>
      <w:jc w:val="center"/>
      <w:outlineLvl w:val="8"/>
    </w:pPr>
    <w:rPr>
      <w:rFonts w:ascii="Arial" w:hAnsi="Arial" w:eastAsia="Times New Roman"/>
      <w:b/>
      <w:color w:val="000000"/>
      <w:szCs w:val="20"/>
      <w:lang w:val="en-US"/>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qFormat/>
    <w:rsid w:val="00a43b3c"/>
    <w:rPr>
      <w:rFonts w:ascii="Tahoma" w:hAnsi="Tahoma" w:eastAsia="Times New Roman" w:cs="Tahoma"/>
      <w:b/>
      <w:bCs/>
      <w:smallCaps/>
      <w:sz w:val="26"/>
      <w:szCs w:val="26"/>
      <w:lang w:eastAsia="en-US"/>
    </w:rPr>
  </w:style>
  <w:style w:type="character" w:styleId="Heading2Char" w:customStyle="1">
    <w:name w:val="Heading 2 Char"/>
    <w:basedOn w:val="DefaultParagraphFont"/>
    <w:link w:val="Heading2"/>
    <w:qFormat/>
    <w:rsid w:val="00a43b3c"/>
    <w:rPr>
      <w:rFonts w:ascii="Tahoma" w:hAnsi="Tahoma" w:eastAsia="Times New Roman" w:cs="Tahoma"/>
      <w:b/>
      <w:bCs/>
      <w:smallCaps/>
      <w:sz w:val="22"/>
      <w:szCs w:val="26"/>
      <w:lang w:eastAsia="en-US"/>
    </w:rPr>
  </w:style>
  <w:style w:type="character" w:styleId="Heading3Char" w:customStyle="1">
    <w:name w:val="Heading 3 Char"/>
    <w:basedOn w:val="DefaultParagraphFont"/>
    <w:link w:val="Heading3"/>
    <w:qFormat/>
    <w:rsid w:val="00a43b3c"/>
    <w:rPr>
      <w:rFonts w:ascii="Calibri" w:hAnsi="Calibri" w:eastAsia="Times New Roman" w:cs="Tahoma"/>
      <w:b/>
      <w:bCs/>
      <w:sz w:val="22"/>
      <w:szCs w:val="22"/>
      <w:lang w:eastAsia="en-US"/>
    </w:rPr>
  </w:style>
  <w:style w:type="character" w:styleId="Heading4Char" w:customStyle="1">
    <w:name w:val="Heading 4 Char"/>
    <w:basedOn w:val="DefaultParagraphFont"/>
    <w:link w:val="Heading4"/>
    <w:qFormat/>
    <w:rsid w:val="00e7529b"/>
    <w:rPr>
      <w:rFonts w:ascii="BMWTypeRegular" w:hAnsi="BMWTypeRegular" w:eastAsia="Times New Roman"/>
      <w:b/>
      <w:bCs/>
      <w:sz w:val="22"/>
      <w:szCs w:val="28"/>
      <w:lang w:eastAsia="en-US"/>
    </w:rPr>
  </w:style>
  <w:style w:type="character" w:styleId="Heading5Char" w:customStyle="1">
    <w:name w:val="Heading 5 Char"/>
    <w:basedOn w:val="DefaultParagraphFont"/>
    <w:link w:val="Heading5"/>
    <w:qFormat/>
    <w:rsid w:val="00e15c84"/>
    <w:rPr>
      <w:rFonts w:ascii="Arial" w:hAnsi="Arial" w:eastAsia="Times New Roman" w:cs="Times New Roman"/>
      <w:b/>
      <w:color w:val="000000"/>
      <w:sz w:val="24"/>
      <w:szCs w:val="20"/>
      <w:lang w:val="en-US"/>
    </w:rPr>
  </w:style>
  <w:style w:type="character" w:styleId="Heading6Char" w:customStyle="1">
    <w:name w:val="Heading 6 Char"/>
    <w:basedOn w:val="DefaultParagraphFont"/>
    <w:link w:val="Heading6"/>
    <w:qFormat/>
    <w:rsid w:val="00e15c84"/>
    <w:rPr>
      <w:rFonts w:ascii="Arial" w:hAnsi="Arial" w:eastAsia="Times New Roman" w:cs="Times New Roman"/>
      <w:b/>
      <w:color w:val="000000"/>
      <w:szCs w:val="20"/>
      <w:lang w:val="en-US"/>
    </w:rPr>
  </w:style>
  <w:style w:type="character" w:styleId="Heading7Char" w:customStyle="1">
    <w:name w:val="Heading 7 Char"/>
    <w:basedOn w:val="DefaultParagraphFont"/>
    <w:link w:val="Heading7"/>
    <w:qFormat/>
    <w:rsid w:val="00e15c84"/>
    <w:rPr>
      <w:rFonts w:ascii="Arial" w:hAnsi="Arial" w:eastAsia="Times New Roman" w:cs="Times New Roman"/>
      <w:b/>
      <w:i/>
      <w:color w:val="000000"/>
      <w:szCs w:val="20"/>
      <w:lang w:val="en-US"/>
    </w:rPr>
  </w:style>
  <w:style w:type="character" w:styleId="Heading8Char" w:customStyle="1">
    <w:name w:val="Heading 8 Char"/>
    <w:basedOn w:val="DefaultParagraphFont"/>
    <w:link w:val="Heading8"/>
    <w:qFormat/>
    <w:rsid w:val="00e15c84"/>
    <w:rPr>
      <w:rFonts w:ascii="Arial" w:hAnsi="Arial" w:eastAsia="Times New Roman" w:cs="Times New Roman"/>
      <w:color w:val="000000"/>
      <w:sz w:val="28"/>
      <w:szCs w:val="20"/>
      <w:shd w:fill="D8D8D8" w:val="clear"/>
      <w:lang w:val="en-US"/>
    </w:rPr>
  </w:style>
  <w:style w:type="character" w:styleId="Heading9Char" w:customStyle="1">
    <w:name w:val="Heading 9 Char"/>
    <w:basedOn w:val="DefaultParagraphFont"/>
    <w:link w:val="Heading9"/>
    <w:qFormat/>
    <w:rsid w:val="00e15c84"/>
    <w:rPr>
      <w:rFonts w:ascii="Arial" w:hAnsi="Arial" w:eastAsia="Times New Roman" w:cs="Times New Roman"/>
      <w:b/>
      <w:color w:val="000000"/>
      <w:szCs w:val="20"/>
      <w:lang w:val="en-US"/>
    </w:rPr>
  </w:style>
  <w:style w:type="character" w:styleId="InternetLink">
    <w:name w:val="Internet Link"/>
    <w:basedOn w:val="DefaultParagraphFont"/>
    <w:uiPriority w:val="99"/>
    <w:unhideWhenUsed/>
    <w:rsid w:val="00e15c84"/>
    <w:rPr>
      <w:color w:val="0000FF"/>
      <w:u w:val="single"/>
    </w:rPr>
  </w:style>
  <w:style w:type="character" w:styleId="HeaderChar" w:customStyle="1">
    <w:name w:val="Header Char"/>
    <w:basedOn w:val="DefaultParagraphFont"/>
    <w:link w:val="Header"/>
    <w:semiHidden/>
    <w:qFormat/>
    <w:rsid w:val="00e15c84"/>
    <w:rPr>
      <w:rFonts w:ascii="Times New Roman" w:hAnsi="Times New Roman" w:eastAsia="Times New Roman" w:cs="Times New Roman"/>
      <w:szCs w:val="20"/>
      <w:lang w:val="en-US"/>
    </w:rPr>
  </w:style>
  <w:style w:type="character" w:styleId="FooterChar" w:customStyle="1">
    <w:name w:val="Footer Char"/>
    <w:basedOn w:val="DefaultParagraphFont"/>
    <w:link w:val="Footer"/>
    <w:uiPriority w:val="99"/>
    <w:qFormat/>
    <w:rsid w:val="00e15c84"/>
    <w:rPr>
      <w:rFonts w:ascii="Times New Roman" w:hAnsi="Times New Roman" w:eastAsia="Times New Roman" w:cs="Times New Roman"/>
      <w:szCs w:val="20"/>
      <w:lang w:val="en-US"/>
    </w:rPr>
  </w:style>
  <w:style w:type="character" w:styleId="BodyTextChar" w:customStyle="1">
    <w:name w:val="Body Text Char"/>
    <w:basedOn w:val="DefaultParagraphFont"/>
    <w:link w:val="BodyText"/>
    <w:qFormat/>
    <w:rsid w:val="00e15c84"/>
    <w:rPr>
      <w:rFonts w:ascii="Arial" w:hAnsi="Arial" w:eastAsia="Times New Roman" w:cs="Times New Roman"/>
      <w:color w:val="000000"/>
      <w:szCs w:val="20"/>
      <w:lang w:val="en-US"/>
    </w:rPr>
  </w:style>
  <w:style w:type="character" w:styleId="BodyTextIndentChar" w:customStyle="1">
    <w:name w:val="Body Text Indent Char"/>
    <w:basedOn w:val="DefaultParagraphFont"/>
    <w:link w:val="BodyTextIndent"/>
    <w:semiHidden/>
    <w:qFormat/>
    <w:rsid w:val="00e15c84"/>
    <w:rPr>
      <w:rFonts w:ascii="Arial" w:hAnsi="Arial" w:eastAsia="Times New Roman" w:cs="Times New Roman"/>
      <w:color w:val="000000"/>
      <w:sz w:val="28"/>
      <w:szCs w:val="20"/>
      <w:lang w:val="en-US"/>
    </w:rPr>
  </w:style>
  <w:style w:type="character" w:styleId="BodyTextIndent2Char" w:customStyle="1">
    <w:name w:val="Body Text Indent 2 Char"/>
    <w:basedOn w:val="DefaultParagraphFont"/>
    <w:link w:val="BodyTextIndent2"/>
    <w:semiHidden/>
    <w:qFormat/>
    <w:rsid w:val="00e15c84"/>
    <w:rPr>
      <w:rFonts w:ascii="Arial" w:hAnsi="Arial" w:eastAsia="Times New Roman" w:cs="Times New Roman"/>
      <w:color w:val="000000"/>
      <w:sz w:val="24"/>
      <w:szCs w:val="20"/>
      <w:lang w:val="en-US"/>
    </w:rPr>
  </w:style>
  <w:style w:type="character" w:styleId="BodyTextIndent3Char" w:customStyle="1">
    <w:name w:val="Body Text Indent 3 Char"/>
    <w:basedOn w:val="DefaultParagraphFont"/>
    <w:link w:val="BodyTextIndent3"/>
    <w:semiHidden/>
    <w:qFormat/>
    <w:rsid w:val="00e15c84"/>
    <w:rPr>
      <w:rFonts w:ascii="Arial" w:hAnsi="Arial" w:eastAsia="Times New Roman" w:cs="Times New Roman"/>
      <w:color w:val="000000"/>
      <w:szCs w:val="20"/>
      <w:lang w:val="en-US"/>
    </w:rPr>
  </w:style>
  <w:style w:type="character" w:styleId="BalloonTextChar" w:customStyle="1">
    <w:name w:val="Balloon Text Char"/>
    <w:basedOn w:val="DefaultParagraphFont"/>
    <w:link w:val="BalloonText"/>
    <w:uiPriority w:val="99"/>
    <w:semiHidden/>
    <w:qFormat/>
    <w:rsid w:val="00e15c84"/>
    <w:rPr>
      <w:rFonts w:ascii="Tahoma" w:hAnsi="Tahoma" w:eastAsia="Calibri" w:cs="Tahoma"/>
      <w:sz w:val="16"/>
      <w:szCs w:val="16"/>
    </w:rPr>
  </w:style>
  <w:style w:type="character" w:styleId="TitleChar" w:customStyle="1">
    <w:name w:val="Title Char"/>
    <w:basedOn w:val="DefaultParagraphFont"/>
    <w:link w:val="Title"/>
    <w:uiPriority w:val="10"/>
    <w:qFormat/>
    <w:rsid w:val="00e10c5c"/>
    <w:rPr>
      <w:rFonts w:ascii="Cambria" w:hAnsi="Cambria" w:eastAsia="Times New Roman" w:cs="Times New Roman"/>
      <w:color w:val="17365D"/>
      <w:spacing w:val="5"/>
      <w:sz w:val="52"/>
      <w:szCs w:val="52"/>
    </w:rPr>
  </w:style>
  <w:style w:type="character" w:styleId="BookTitle">
    <w:name w:val="Book Title"/>
    <w:basedOn w:val="DefaultParagraphFont"/>
    <w:uiPriority w:val="33"/>
    <w:qFormat/>
    <w:rsid w:val="00ad091c"/>
    <w:rPr>
      <w:b/>
      <w:bCs/>
      <w:smallCaps/>
      <w:spacing w:val="5"/>
    </w:rPr>
  </w:style>
  <w:style w:type="character" w:styleId="IntenseReference">
    <w:name w:val="Intense Reference"/>
    <w:basedOn w:val="DefaultParagraphFont"/>
    <w:uiPriority w:val="32"/>
    <w:qFormat/>
    <w:rsid w:val="00ad091c"/>
    <w:rPr>
      <w:b/>
      <w:bCs/>
      <w:smallCaps/>
      <w:color w:val="C0504D"/>
      <w:spacing w:val="5"/>
      <w:u w:val="single"/>
    </w:rPr>
  </w:style>
  <w:style w:type="character" w:styleId="Emphasis">
    <w:name w:val="Emphasis"/>
    <w:basedOn w:val="DefaultParagraphFont"/>
    <w:uiPriority w:val="20"/>
    <w:qFormat/>
    <w:rsid w:val="00ad091c"/>
    <w:rPr>
      <w:i/>
      <w:iCs/>
    </w:rPr>
  </w:style>
  <w:style w:type="character" w:styleId="ListLabel1">
    <w:name w:val="ListLabel 1"/>
    <w:qFormat/>
    <w:rPr>
      <w:rFonts w:cs="Courier New"/>
    </w:rPr>
  </w:style>
  <w:style w:type="character" w:styleId="ListLabel2">
    <w:name w:val="ListLabel 2"/>
    <w:qFormat/>
    <w:rPr>
      <w:rFonts w:cs="Courier New"/>
    </w:rPr>
  </w:style>
  <w:style w:type="character" w:styleId="ListLabel3">
    <w:name w:val="ListLabel 3"/>
    <w:qFormat/>
    <w:rPr>
      <w:rFonts w:cs="Courier New"/>
    </w:rPr>
  </w:style>
  <w:style w:type="character" w:styleId="ListLabel4">
    <w:name w:val="ListLabel 4"/>
    <w:qFormat/>
    <w:rPr>
      <w:b/>
    </w:rPr>
  </w:style>
  <w:style w:type="character" w:styleId="ListLabel5">
    <w:name w:val="ListLabel 5"/>
    <w:qFormat/>
    <w:rPr>
      <w:rFonts w:eastAsia="Calibri" w:cs="Tahoma"/>
    </w:rPr>
  </w:style>
  <w:style w:type="character" w:styleId="ListLabel6">
    <w:name w:val="ListLabel 6"/>
    <w:qFormat/>
    <w:rPr>
      <w:rFonts w:eastAsia="Calibri" w:cs="Times New Roman"/>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cs="Courier New"/>
    </w:rPr>
  </w:style>
  <w:style w:type="character" w:styleId="ListLabel11">
    <w:name w:val="ListLabel 11"/>
    <w:qFormat/>
    <w:rPr>
      <w:rFonts w:cs="Courier New"/>
    </w:rPr>
  </w:style>
  <w:style w:type="character" w:styleId="ListLabel12">
    <w:name w:val="ListLabel 12"/>
    <w:qFormat/>
    <w:rPr>
      <w:rFonts w:cs="Courier New"/>
    </w:rPr>
  </w:style>
  <w:style w:type="character" w:styleId="ListLabel13">
    <w:name w:val="ListLabel 13"/>
    <w:qFormat/>
    <w:rPr>
      <w:rFonts w:eastAsia="Calibri" w:cs="Times New Roman"/>
    </w:rPr>
  </w:style>
  <w:style w:type="character" w:styleId="ListLabel14">
    <w:name w:val="ListLabel 14"/>
    <w:qFormat/>
    <w:rPr>
      <w:rFonts w:cs="Courier New"/>
    </w:rPr>
  </w:style>
  <w:style w:type="character" w:styleId="ListLabel15">
    <w:name w:val="ListLabel 15"/>
    <w:qFormat/>
    <w:rPr>
      <w:rFonts w:cs="Courier New"/>
    </w:rPr>
  </w:style>
  <w:style w:type="character" w:styleId="ListLabel16">
    <w:name w:val="ListLabel 16"/>
    <w:qFormat/>
    <w:rPr>
      <w:rFonts w:eastAsia="Calibri" w:cs="Times New Roman"/>
    </w:rPr>
  </w:style>
  <w:style w:type="character" w:styleId="ListLabel17">
    <w:name w:val="ListLabel 17"/>
    <w:qFormat/>
    <w:rPr>
      <w:rFonts w:cs="Courier New"/>
    </w:rPr>
  </w:style>
  <w:style w:type="character" w:styleId="ListLabel18">
    <w:name w:val="ListLabel 18"/>
    <w:qFormat/>
    <w:rPr>
      <w:rFonts w:cs="Courier New"/>
    </w:rPr>
  </w:style>
  <w:style w:type="character" w:styleId="ListLabel19">
    <w:name w:val="ListLabel 19"/>
    <w:qFormat/>
    <w:rPr>
      <w:rFonts w:cs="Courier New"/>
    </w:rPr>
  </w:style>
  <w:style w:type="character" w:styleId="ListLabel20">
    <w:name w:val="ListLabel 20"/>
    <w:qFormat/>
    <w:rPr>
      <w:rFonts w:cs="Courier New"/>
    </w:rPr>
  </w:style>
  <w:style w:type="character" w:styleId="ListLabel21">
    <w:name w:val="ListLabel 21"/>
    <w:qFormat/>
    <w:rPr>
      <w:rFonts w:cs="Courier New"/>
    </w:rPr>
  </w:style>
  <w:style w:type="character" w:styleId="ListLabel22">
    <w:name w:val="ListLabel 22"/>
    <w:qFormat/>
    <w:rPr>
      <w:rFonts w:cs="Courier New"/>
    </w:rPr>
  </w:style>
  <w:style w:type="character" w:styleId="ListLabel23">
    <w:name w:val="ListLabel 23"/>
    <w:qFormat/>
    <w:rPr>
      <w:rFonts w:cs="Courier New"/>
    </w:rPr>
  </w:style>
  <w:style w:type="character" w:styleId="ListLabel24">
    <w:name w:val="ListLabel 24"/>
    <w:qFormat/>
    <w:rPr>
      <w:rFonts w:cs="Courier New"/>
    </w:rPr>
  </w:style>
  <w:style w:type="character" w:styleId="ListLabel25">
    <w:name w:val="ListLabel 25"/>
    <w:qFormat/>
    <w:rPr>
      <w:rFonts w:cs="Courier New"/>
    </w:rPr>
  </w:style>
  <w:style w:type="character" w:styleId="ListLabel26">
    <w:name w:val="ListLabel 26"/>
    <w:qFormat/>
    <w:rPr>
      <w:rFonts w:cs="Courier New"/>
    </w:rPr>
  </w:style>
  <w:style w:type="character" w:styleId="ListLabel27">
    <w:name w:val="ListLabel 27"/>
    <w:qFormat/>
    <w:rPr>
      <w:rFonts w:cs="Courier New"/>
    </w:rPr>
  </w:style>
  <w:style w:type="character" w:styleId="ListLabel28">
    <w:name w:val="ListLabel 28"/>
    <w:qFormat/>
    <w:rPr>
      <w:rFonts w:cs="Courier New"/>
    </w:rPr>
  </w:style>
  <w:style w:type="character" w:styleId="ListLabel29">
    <w:name w:val="ListLabel 29"/>
    <w:qFormat/>
    <w:rPr>
      <w:rFonts w:cs="Courier New"/>
    </w:rPr>
  </w:style>
  <w:style w:type="character" w:styleId="ListLabel30">
    <w:name w:val="ListLabel 30"/>
    <w:qFormat/>
    <w:rPr>
      <w:rFonts w:cs="Courier New"/>
    </w:rPr>
  </w:style>
  <w:style w:type="character" w:styleId="ListLabel31">
    <w:name w:val="ListLabel 31"/>
    <w:qFormat/>
    <w:rPr>
      <w:rFonts w:cs="Courier New"/>
    </w:rPr>
  </w:style>
  <w:style w:type="character" w:styleId="ListLabel32">
    <w:name w:val="ListLabel 32"/>
    <w:qFormat/>
    <w:rPr>
      <w:rFonts w:cs="Courier New"/>
    </w:rPr>
  </w:style>
  <w:style w:type="character" w:styleId="ListLabel33">
    <w:name w:val="ListLabel 33"/>
    <w:qFormat/>
    <w:rPr>
      <w:rFonts w:cs="Courier New"/>
    </w:rPr>
  </w:style>
  <w:style w:type="character" w:styleId="ListLabel34">
    <w:name w:val="ListLabel 34"/>
    <w:qFormat/>
    <w:rPr>
      <w:rFonts w:cs="Courier New"/>
    </w:rPr>
  </w:style>
  <w:style w:type="character" w:styleId="ListLabel35">
    <w:name w:val="ListLabel 35"/>
    <w:qFormat/>
    <w:rPr>
      <w:rFonts w:cs="Courier New"/>
    </w:rPr>
  </w:style>
  <w:style w:type="character" w:styleId="ListLabel36">
    <w:name w:val="ListLabel 36"/>
    <w:qFormat/>
    <w:rPr>
      <w:rFonts w:cs="Courier New"/>
    </w:rPr>
  </w:style>
  <w:style w:type="character" w:styleId="ListLabel37">
    <w:name w:val="ListLabel 37"/>
    <w:qFormat/>
    <w:rPr>
      <w:rFonts w:cs="Courier New"/>
    </w:rPr>
  </w:style>
  <w:style w:type="paragraph" w:styleId="Heading">
    <w:name w:val="Heading"/>
    <w:basedOn w:val="Normal"/>
    <w:next w:val="TextBody"/>
    <w:qFormat/>
    <w:pPr>
      <w:keepNext/>
      <w:spacing w:before="240" w:after="120"/>
    </w:pPr>
    <w:rPr>
      <w:rFonts w:ascii="Liberation Sans" w:hAnsi="Liberation Sans" w:eastAsia="Microsoft YaHei" w:cs="Lucida Sans"/>
      <w:sz w:val="28"/>
      <w:szCs w:val="28"/>
    </w:rPr>
  </w:style>
  <w:style w:type="paragraph" w:styleId="TextBody">
    <w:name w:val="Body Text"/>
    <w:basedOn w:val="Normal"/>
    <w:link w:val="BodyTextChar"/>
    <w:rsid w:val="00e15c84"/>
    <w:pPr>
      <w:widowControl w:val="false"/>
      <w:spacing w:lineRule="auto" w:line="240" w:before="120" w:after="120"/>
    </w:pPr>
    <w:rPr>
      <w:rFonts w:ascii="Arial" w:hAnsi="Arial" w:eastAsia="Times New Roman"/>
      <w:color w:val="000000"/>
      <w:szCs w:val="20"/>
      <w:lang w:val="en-US"/>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Default" w:customStyle="1">
    <w:name w:val="Default"/>
    <w:qFormat/>
    <w:rsid w:val="00e15c84"/>
    <w:pPr>
      <w:widowControl/>
      <w:bidi w:val="0"/>
      <w:jc w:val="left"/>
    </w:pPr>
    <w:rPr>
      <w:rFonts w:ascii="Times New Roman" w:hAnsi="Times New Roman" w:eastAsia="Calibri" w:cs="Times New Roman"/>
      <w:color w:val="000000"/>
      <w:sz w:val="24"/>
      <w:szCs w:val="24"/>
      <w:lang w:eastAsia="en-US" w:val="en-IE" w:bidi="ar-SA"/>
    </w:rPr>
  </w:style>
  <w:style w:type="paragraph" w:styleId="ListParagraph">
    <w:name w:val="List Paragraph"/>
    <w:basedOn w:val="Normal"/>
    <w:uiPriority w:val="34"/>
    <w:qFormat/>
    <w:rsid w:val="00e15c84"/>
    <w:pPr>
      <w:spacing w:before="0" w:after="200"/>
      <w:ind w:left="720" w:hanging="0"/>
      <w:contextualSpacing/>
    </w:pPr>
    <w:rPr/>
  </w:style>
  <w:style w:type="paragraph" w:styleId="Contents1">
    <w:name w:val="TOC 1"/>
    <w:basedOn w:val="Normal"/>
    <w:next w:val="Normal"/>
    <w:autoRedefine/>
    <w:uiPriority w:val="39"/>
    <w:unhideWhenUsed/>
    <w:rsid w:val="00e15c84"/>
    <w:pPr>
      <w:spacing w:before="120" w:after="120"/>
    </w:pPr>
    <w:rPr>
      <w:b/>
      <w:bCs/>
      <w:caps/>
      <w:sz w:val="20"/>
      <w:szCs w:val="20"/>
    </w:rPr>
  </w:style>
  <w:style w:type="paragraph" w:styleId="Contents2">
    <w:name w:val="TOC 2"/>
    <w:basedOn w:val="Normal"/>
    <w:next w:val="Normal"/>
    <w:autoRedefine/>
    <w:uiPriority w:val="39"/>
    <w:unhideWhenUsed/>
    <w:rsid w:val="00e15c84"/>
    <w:pPr>
      <w:spacing w:before="0" w:after="0"/>
      <w:ind w:left="220" w:hanging="0"/>
    </w:pPr>
    <w:rPr>
      <w:smallCaps/>
      <w:sz w:val="20"/>
      <w:szCs w:val="20"/>
    </w:rPr>
  </w:style>
  <w:style w:type="paragraph" w:styleId="Contents3">
    <w:name w:val="TOC 3"/>
    <w:basedOn w:val="Normal"/>
    <w:next w:val="Normal"/>
    <w:autoRedefine/>
    <w:unhideWhenUsed/>
    <w:rsid w:val="00e15c84"/>
    <w:pPr>
      <w:spacing w:before="0" w:after="0"/>
      <w:ind w:left="440" w:hanging="0"/>
    </w:pPr>
    <w:rPr>
      <w:i/>
      <w:iCs/>
      <w:sz w:val="20"/>
      <w:szCs w:val="20"/>
    </w:rPr>
  </w:style>
  <w:style w:type="paragraph" w:styleId="Header">
    <w:name w:val="Header"/>
    <w:basedOn w:val="Normal"/>
    <w:link w:val="HeaderChar"/>
    <w:rsid w:val="00e15c84"/>
    <w:pPr>
      <w:tabs>
        <w:tab w:val="center" w:pos="4320" w:leader="none"/>
        <w:tab w:val="right" w:pos="8640" w:leader="none"/>
      </w:tabs>
      <w:spacing w:lineRule="auto" w:line="240" w:before="0" w:after="0"/>
    </w:pPr>
    <w:rPr>
      <w:rFonts w:ascii="Times New Roman" w:hAnsi="Times New Roman" w:eastAsia="Times New Roman"/>
      <w:szCs w:val="20"/>
      <w:lang w:val="en-US"/>
    </w:rPr>
  </w:style>
  <w:style w:type="paragraph" w:styleId="Footer">
    <w:name w:val="Footer"/>
    <w:basedOn w:val="Normal"/>
    <w:link w:val="FooterChar"/>
    <w:rsid w:val="00e15c84"/>
    <w:pPr>
      <w:tabs>
        <w:tab w:val="center" w:pos="4320" w:leader="none"/>
        <w:tab w:val="right" w:pos="8640" w:leader="none"/>
      </w:tabs>
      <w:spacing w:lineRule="auto" w:line="240" w:before="0" w:after="0"/>
    </w:pPr>
    <w:rPr>
      <w:rFonts w:ascii="Times New Roman" w:hAnsi="Times New Roman" w:eastAsia="Times New Roman"/>
      <w:szCs w:val="20"/>
      <w:lang w:val="en-US"/>
    </w:rPr>
  </w:style>
  <w:style w:type="paragraph" w:styleId="TextBodyIndent">
    <w:name w:val="Body Text Indent"/>
    <w:basedOn w:val="Normal"/>
    <w:link w:val="BodyTextIndentChar"/>
    <w:semiHidden/>
    <w:rsid w:val="00e15c84"/>
    <w:pPr>
      <w:widowControl w:val="false"/>
      <w:spacing w:lineRule="auto" w:line="240" w:before="120" w:after="120"/>
    </w:pPr>
    <w:rPr>
      <w:rFonts w:ascii="Arial" w:hAnsi="Arial" w:eastAsia="Times New Roman"/>
      <w:color w:val="000000"/>
      <w:sz w:val="28"/>
      <w:szCs w:val="20"/>
      <w:lang w:val="en-US"/>
    </w:rPr>
  </w:style>
  <w:style w:type="paragraph" w:styleId="BodyTextIndent2">
    <w:name w:val="Body Text Indent 2"/>
    <w:basedOn w:val="Normal"/>
    <w:link w:val="BodyTextIndent2Char"/>
    <w:qFormat/>
    <w:rsid w:val="00e15c84"/>
    <w:pPr>
      <w:widowControl w:val="false"/>
      <w:spacing w:lineRule="auto" w:line="240" w:before="80" w:after="80"/>
      <w:ind w:left="317" w:hanging="317"/>
    </w:pPr>
    <w:rPr>
      <w:rFonts w:ascii="Arial" w:hAnsi="Arial" w:eastAsia="Times New Roman"/>
      <w:color w:val="000000"/>
      <w:sz w:val="24"/>
      <w:szCs w:val="20"/>
      <w:lang w:val="en-US"/>
    </w:rPr>
  </w:style>
  <w:style w:type="paragraph" w:styleId="BodyTextIndent3">
    <w:name w:val="Body Text Indent 3"/>
    <w:basedOn w:val="Normal"/>
    <w:link w:val="BodyTextIndent3Char"/>
    <w:semiHidden/>
    <w:qFormat/>
    <w:rsid w:val="00e15c84"/>
    <w:pPr>
      <w:widowControl w:val="false"/>
      <w:spacing w:lineRule="auto" w:line="240" w:before="0" w:after="0"/>
      <w:ind w:left="284" w:hanging="284"/>
    </w:pPr>
    <w:rPr>
      <w:rFonts w:ascii="Arial" w:hAnsi="Arial" w:eastAsia="Times New Roman"/>
      <w:color w:val="000000"/>
      <w:szCs w:val="20"/>
      <w:lang w:val="en-US"/>
    </w:rPr>
  </w:style>
  <w:style w:type="paragraph" w:styleId="Contents4">
    <w:name w:val="TOC 4"/>
    <w:basedOn w:val="Normal"/>
    <w:next w:val="Normal"/>
    <w:autoRedefine/>
    <w:rsid w:val="00e15c84"/>
    <w:pPr>
      <w:spacing w:before="0" w:after="0"/>
      <w:ind w:left="660" w:hanging="0"/>
    </w:pPr>
    <w:rPr>
      <w:sz w:val="18"/>
      <w:szCs w:val="18"/>
    </w:rPr>
  </w:style>
  <w:style w:type="paragraph" w:styleId="Contents5">
    <w:name w:val="TOC 5"/>
    <w:basedOn w:val="Normal"/>
    <w:next w:val="Normal"/>
    <w:autoRedefine/>
    <w:rsid w:val="00e15c84"/>
    <w:pPr>
      <w:spacing w:before="0" w:after="0"/>
      <w:ind w:left="880" w:hanging="0"/>
    </w:pPr>
    <w:rPr>
      <w:sz w:val="18"/>
      <w:szCs w:val="18"/>
    </w:rPr>
  </w:style>
  <w:style w:type="paragraph" w:styleId="Contents6">
    <w:name w:val="TOC 6"/>
    <w:basedOn w:val="Normal"/>
    <w:next w:val="Normal"/>
    <w:autoRedefine/>
    <w:rsid w:val="00e15c84"/>
    <w:pPr>
      <w:spacing w:before="0" w:after="0"/>
      <w:ind w:left="1100" w:hanging="0"/>
    </w:pPr>
    <w:rPr>
      <w:sz w:val="18"/>
      <w:szCs w:val="18"/>
    </w:rPr>
  </w:style>
  <w:style w:type="paragraph" w:styleId="Contents7">
    <w:name w:val="TOC 7"/>
    <w:basedOn w:val="Normal"/>
    <w:next w:val="Normal"/>
    <w:autoRedefine/>
    <w:rsid w:val="00e15c84"/>
    <w:pPr>
      <w:spacing w:before="0" w:after="0"/>
      <w:ind w:left="1320" w:hanging="0"/>
    </w:pPr>
    <w:rPr>
      <w:sz w:val="18"/>
      <w:szCs w:val="18"/>
    </w:rPr>
  </w:style>
  <w:style w:type="paragraph" w:styleId="Contents8">
    <w:name w:val="TOC 8"/>
    <w:basedOn w:val="Normal"/>
    <w:next w:val="Normal"/>
    <w:autoRedefine/>
    <w:rsid w:val="00e15c84"/>
    <w:pPr>
      <w:spacing w:before="0" w:after="0"/>
      <w:ind w:left="1540" w:hanging="0"/>
    </w:pPr>
    <w:rPr>
      <w:sz w:val="18"/>
      <w:szCs w:val="18"/>
    </w:rPr>
  </w:style>
  <w:style w:type="paragraph" w:styleId="Contents9">
    <w:name w:val="TOC 9"/>
    <w:basedOn w:val="Normal"/>
    <w:next w:val="Normal"/>
    <w:autoRedefine/>
    <w:rsid w:val="00e15c84"/>
    <w:pPr>
      <w:spacing w:before="0" w:after="0"/>
      <w:ind w:left="1760" w:hanging="0"/>
    </w:pPr>
    <w:rPr>
      <w:sz w:val="18"/>
      <w:szCs w:val="18"/>
    </w:rPr>
  </w:style>
  <w:style w:type="paragraph" w:styleId="BalloonText">
    <w:name w:val="Balloon Text"/>
    <w:basedOn w:val="Normal"/>
    <w:link w:val="BalloonTextChar"/>
    <w:uiPriority w:val="99"/>
    <w:semiHidden/>
    <w:unhideWhenUsed/>
    <w:qFormat/>
    <w:rsid w:val="00e15c84"/>
    <w:pPr>
      <w:spacing w:lineRule="auto" w:line="240" w:before="0" w:after="0"/>
    </w:pPr>
    <w:rPr>
      <w:rFonts w:ascii="Tahoma" w:hAnsi="Tahoma" w:cs="Tahoma"/>
      <w:sz w:val="16"/>
      <w:szCs w:val="16"/>
    </w:rPr>
  </w:style>
  <w:style w:type="paragraph" w:styleId="Title">
    <w:name w:val="Title"/>
    <w:basedOn w:val="Normal"/>
    <w:next w:val="Normal"/>
    <w:link w:val="TitleChar"/>
    <w:uiPriority w:val="10"/>
    <w:qFormat/>
    <w:rsid w:val="00e10c5c"/>
    <w:pPr>
      <w:pBdr>
        <w:bottom w:val="single" w:sz="8" w:space="4" w:color="4F81BD"/>
      </w:pBdr>
      <w:spacing w:lineRule="auto" w:line="240" w:before="0" w:after="300"/>
      <w:contextualSpacing/>
    </w:pPr>
    <w:rPr>
      <w:rFonts w:ascii="Cambria" w:hAnsi="Cambria" w:eastAsia="Times New Roman"/>
      <w:color w:val="17365D"/>
      <w:spacing w:val="5"/>
      <w:sz w:val="52"/>
      <w:szCs w:val="52"/>
    </w:rPr>
  </w:style>
  <w:style w:type="paragraph" w:styleId="Index1">
    <w:name w:val="index 1"/>
    <w:basedOn w:val="Normal"/>
    <w:next w:val="Normal"/>
    <w:autoRedefine/>
    <w:uiPriority w:val="99"/>
    <w:semiHidden/>
    <w:unhideWhenUsed/>
    <w:qFormat/>
    <w:rsid w:val="00f11249"/>
    <w:pPr>
      <w:spacing w:lineRule="auto" w:line="240" w:before="0" w:after="0"/>
      <w:ind w:left="220" w:hanging="220"/>
    </w:pPr>
    <w:rPr/>
  </w:style>
  <w:style w:type="paragraph" w:styleId="Indexheading">
    <w:name w:val="index heading"/>
    <w:basedOn w:val="Normal"/>
    <w:semiHidden/>
    <w:qFormat/>
    <w:rsid w:val="00f11249"/>
    <w:pPr>
      <w:spacing w:lineRule="auto" w:line="240" w:before="0" w:after="0"/>
    </w:pPr>
    <w:rPr>
      <w:rFonts w:ascii="Times New Roman" w:hAnsi="Times New Roman" w:eastAsia="Times New Roman"/>
      <w:sz w:val="24"/>
      <w:szCs w:val="20"/>
      <w:lang w:val="en-GB"/>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table" w:styleId="TableGrid">
    <w:name w:val="Table Grid"/>
    <w:basedOn w:val="TableNormal"/>
    <w:rsid w:val="00e15c84"/>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ColorfulGrid-Accent6">
    <w:name w:val="Colorful Grid Accent 6"/>
    <w:basedOn w:val="TableNormal"/>
    <w:uiPriority w:val="73"/>
    <w:rsid w:val="00ad091c"/>
    <w:rPr>
      <w:color w:val="000000"/>
    </w:rPr>
    <w:tblPr>
      <w:tblStyleRowBandSize w:val="1"/>
      <w:tblStyleColBandSize w:val="1"/>
      <w:tblBorders>
        <w:insideH w:val="single" w:color="FFFFFF" w:sz="4" w:space="0"/>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diagramData" Target="diagrams/data1.xml"/><Relationship Id="rId3" Type="http://schemas.openxmlformats.org/officeDocument/2006/relationships/diagramLayout" Target="diagrams/layout1.xml"/><Relationship Id="rId4" Type="http://schemas.openxmlformats.org/officeDocument/2006/relationships/diagramQuickStyle" Target="diagrams/quickStyle1.xml"/><Relationship Id="rId5" Type="http://schemas.openxmlformats.org/officeDocument/2006/relationships/diagramColors" Target="diagrams/colors1.xml"/><Relationship Id="rId6" Type="http://schemas.microsoft.com/office/2007/relationships/diagramDrawing" Target="diagrams/drawing1.xml"/><Relationship Id="rId7" Type="http://schemas.openxmlformats.org/officeDocument/2006/relationships/image" Target="media/image1.wmf"/><Relationship Id="rId8" Type="http://schemas.openxmlformats.org/officeDocument/2006/relationships/image" Target="media/image2.wmf"/><Relationship Id="rId9" Type="http://schemas.openxmlformats.org/officeDocument/2006/relationships/image" Target="media/image3.wmf"/><Relationship Id="rId10" Type="http://schemas.openxmlformats.org/officeDocument/2006/relationships/image" Target="media/image4.wmf"/><Relationship Id="rId11" Type="http://schemas.openxmlformats.org/officeDocument/2006/relationships/image" Target="media/image5.wmf"/><Relationship Id="rId12" Type="http://schemas.openxmlformats.org/officeDocument/2006/relationships/image" Target="media/image6.wmf"/><Relationship Id="rId13" Type="http://schemas.openxmlformats.org/officeDocument/2006/relationships/header" Target="header1.xml"/><Relationship Id="rId14" Type="http://schemas.openxmlformats.org/officeDocument/2006/relationships/footer" Target="footer1.xml"/><Relationship Id="rId15" Type="http://schemas.openxmlformats.org/officeDocument/2006/relationships/numbering" Target="numbering.xml"/><Relationship Id="rId16" Type="http://schemas.openxmlformats.org/officeDocument/2006/relationships/fontTable" Target="fontTable.xml"/><Relationship Id="rId17" Type="http://schemas.openxmlformats.org/officeDocument/2006/relationships/settings" Target="settings.xml"/><Relationship Id="rId18" Type="http://schemas.openxmlformats.org/officeDocument/2006/relationships/theme" Target="theme/theme1.xml"/><Relationship Id="rId19" Type="http://schemas.openxmlformats.org/officeDocument/2006/relationships/customXml" Target="../customXml/item1.xml"/>
</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0F852F3-8299-44A0-9E6A-09BED731450C}" type="doc">
      <dgm:prSet loTypeId="urn:microsoft.com/office/officeart/2005/8/layout/hierarchy4" loCatId="relationship" qsTypeId="urn:microsoft.com/office/officeart/2005/8/quickstyle/simple1" qsCatId="simple" csTypeId="urn:microsoft.com/office/officeart/2005/8/colors/accent1_2" csCatId="accent1" phldr="1"/>
      <dgm:spPr/>
      <dgm:t>
        <a:bodyPr/>
        <a:lstStyle/>
        <a:p>
          <a:endParaRPr lang="en-IE"/>
        </a:p>
      </dgm:t>
    </dgm:pt>
    <dgm:pt modelId="{07C2775D-FF3B-4BCA-8D8E-12C2F2F6FC2F}">
      <dgm:prSet phldrT="[Text]" custT="1"/>
      <dgm:spPr/>
      <dgm:t>
        <a:bodyPr/>
        <a:lstStyle/>
        <a:p>
          <a:r>
            <a:rPr lang="en-IE" sz="2000"/>
            <a:t>Niall McCarthy, Chairman (BoM)</a:t>
          </a:r>
        </a:p>
      </dgm:t>
    </dgm:pt>
    <dgm:pt modelId="{DF220FCC-9F62-4D84-850D-B7855B9C5782}" type="parTrans" cxnId="{C5286587-7B87-483D-8CF2-0232B194ACD1}">
      <dgm:prSet/>
      <dgm:spPr/>
      <dgm:t>
        <a:bodyPr/>
        <a:lstStyle/>
        <a:p>
          <a:endParaRPr lang="en-IE"/>
        </a:p>
      </dgm:t>
    </dgm:pt>
    <dgm:pt modelId="{F442677C-ADFA-4323-944B-509ADDFCCA57}" type="sibTrans" cxnId="{C5286587-7B87-483D-8CF2-0232B194ACD1}">
      <dgm:prSet/>
      <dgm:spPr/>
      <dgm:t>
        <a:bodyPr/>
        <a:lstStyle/>
        <a:p>
          <a:endParaRPr lang="en-IE"/>
        </a:p>
      </dgm:t>
    </dgm:pt>
    <dgm:pt modelId="{C11A022F-38FB-4B24-BC9D-9CD65F546B9F}">
      <dgm:prSet phldrT="[Text]"/>
      <dgm:spPr/>
      <dgm:t>
        <a:bodyPr/>
        <a:lstStyle/>
        <a:p>
          <a:r>
            <a:rPr lang="en-IE"/>
            <a:t>Kieran Kelly (Principal)</a:t>
          </a:r>
        </a:p>
      </dgm:t>
    </dgm:pt>
    <dgm:pt modelId="{03A9BD61-ED76-4787-B24D-4665C7AAE532}" type="parTrans" cxnId="{D41B5ACB-2A7E-4FE4-B98E-D5FAB732DE17}">
      <dgm:prSet/>
      <dgm:spPr/>
      <dgm:t>
        <a:bodyPr/>
        <a:lstStyle/>
        <a:p>
          <a:endParaRPr lang="en-IE"/>
        </a:p>
      </dgm:t>
    </dgm:pt>
    <dgm:pt modelId="{B8B923F5-4BF7-4E39-9E1B-A0CB11B72791}" type="sibTrans" cxnId="{D41B5ACB-2A7E-4FE4-B98E-D5FAB732DE17}">
      <dgm:prSet/>
      <dgm:spPr/>
      <dgm:t>
        <a:bodyPr/>
        <a:lstStyle/>
        <a:p>
          <a:endParaRPr lang="en-IE"/>
        </a:p>
      </dgm:t>
    </dgm:pt>
    <dgm:pt modelId="{1294AC1B-4A26-4640-87D1-9E9B6BAA6ED7}">
      <dgm:prSet phldrT="[Text]"/>
      <dgm:spPr/>
      <dgm:t>
        <a:bodyPr/>
        <a:lstStyle/>
        <a:p>
          <a:r>
            <a:rPr lang="en-IE"/>
            <a:t>All Staff</a:t>
          </a:r>
        </a:p>
      </dgm:t>
    </dgm:pt>
    <dgm:pt modelId="{42C2F100-6D08-4D44-B9F8-06B99EEDAD6B}" type="parTrans" cxnId="{8F7F0722-D477-4686-A007-B0560579BE41}">
      <dgm:prSet/>
      <dgm:spPr/>
      <dgm:t>
        <a:bodyPr/>
        <a:lstStyle/>
        <a:p>
          <a:endParaRPr lang="en-IE"/>
        </a:p>
      </dgm:t>
    </dgm:pt>
    <dgm:pt modelId="{11E1B84F-7E26-4D04-9C3F-0FCAE737E08B}" type="sibTrans" cxnId="{8F7F0722-D477-4686-A007-B0560579BE41}">
      <dgm:prSet/>
      <dgm:spPr/>
      <dgm:t>
        <a:bodyPr/>
        <a:lstStyle/>
        <a:p>
          <a:endParaRPr lang="en-IE"/>
        </a:p>
      </dgm:t>
    </dgm:pt>
    <dgm:pt modelId="{4A01C13D-4C78-43AB-804E-B4F4E7E6342A}">
      <dgm:prSet phldrT="[Text]"/>
      <dgm:spPr/>
      <dgm:t>
        <a:bodyPr/>
        <a:lstStyle/>
        <a:p>
          <a:r>
            <a:rPr lang="en-IE"/>
            <a:t>Pupils</a:t>
          </a:r>
        </a:p>
      </dgm:t>
    </dgm:pt>
    <dgm:pt modelId="{FCD07E35-6DC3-40D5-8353-EC1E3528A62A}" type="parTrans" cxnId="{6CBE74EA-AE04-440B-91EA-111D4531C526}">
      <dgm:prSet/>
      <dgm:spPr/>
      <dgm:t>
        <a:bodyPr/>
        <a:lstStyle/>
        <a:p>
          <a:endParaRPr lang="en-IE"/>
        </a:p>
      </dgm:t>
    </dgm:pt>
    <dgm:pt modelId="{DE3BCC34-64F7-46E0-BD4E-34B69FAC69B7}" type="sibTrans" cxnId="{6CBE74EA-AE04-440B-91EA-111D4531C526}">
      <dgm:prSet/>
      <dgm:spPr/>
      <dgm:t>
        <a:bodyPr/>
        <a:lstStyle/>
        <a:p>
          <a:endParaRPr lang="en-IE"/>
        </a:p>
      </dgm:t>
    </dgm:pt>
    <dgm:pt modelId="{4E637CBF-FC09-404C-B4C8-013F32D1C9EE}">
      <dgm:prSet phldrT="[Text]"/>
      <dgm:spPr/>
      <dgm:t>
        <a:bodyPr/>
        <a:lstStyle/>
        <a:p>
          <a:r>
            <a:rPr lang="en-IE"/>
            <a:t>Pat Smith (Safety Advisor)</a:t>
          </a:r>
        </a:p>
      </dgm:t>
    </dgm:pt>
    <dgm:pt modelId="{BE038FA3-CF6C-4D5E-8A71-2F61D8C5F668}" type="parTrans" cxnId="{E3373B96-4285-431D-A26D-038797AF32C4}">
      <dgm:prSet/>
      <dgm:spPr/>
      <dgm:t>
        <a:bodyPr/>
        <a:lstStyle/>
        <a:p>
          <a:endParaRPr lang="en-IE"/>
        </a:p>
      </dgm:t>
    </dgm:pt>
    <dgm:pt modelId="{91DF66D9-7A04-413B-83D5-8447611F1B22}" type="sibTrans" cxnId="{E3373B96-4285-431D-A26D-038797AF32C4}">
      <dgm:prSet/>
      <dgm:spPr/>
      <dgm:t>
        <a:bodyPr/>
        <a:lstStyle/>
        <a:p>
          <a:endParaRPr lang="en-IE"/>
        </a:p>
      </dgm:t>
    </dgm:pt>
    <dgm:pt modelId="{344E4E32-1A81-4020-8EDC-B226E4293001}">
      <dgm:prSet phldrT="[Text]"/>
      <dgm:spPr/>
      <dgm:t>
        <a:bodyPr/>
        <a:lstStyle/>
        <a:p>
          <a:r>
            <a:rPr lang="en-IE"/>
            <a:t>All Visitors and Contractors</a:t>
          </a:r>
        </a:p>
      </dgm:t>
    </dgm:pt>
    <dgm:pt modelId="{E5730537-39D4-4DF8-88BB-35452BB53B0C}" type="parTrans" cxnId="{238FF7A4-9537-475C-AF7E-4A3A583B32D5}">
      <dgm:prSet/>
      <dgm:spPr/>
      <dgm:t>
        <a:bodyPr/>
        <a:lstStyle/>
        <a:p>
          <a:endParaRPr lang="en-IE"/>
        </a:p>
      </dgm:t>
    </dgm:pt>
    <dgm:pt modelId="{BE274C27-C9D6-49CE-B275-3B69BB0CAC9E}" type="sibTrans" cxnId="{238FF7A4-9537-475C-AF7E-4A3A583B32D5}">
      <dgm:prSet/>
      <dgm:spPr/>
      <dgm:t>
        <a:bodyPr/>
        <a:lstStyle/>
        <a:p>
          <a:endParaRPr lang="en-IE"/>
        </a:p>
      </dgm:t>
    </dgm:pt>
    <dgm:pt modelId="{5E264703-30BA-494E-A7A3-24BD69492C18}" type="pres">
      <dgm:prSet presAssocID="{10F852F3-8299-44A0-9E6A-09BED731450C}" presName="Name0" presStyleCnt="0">
        <dgm:presLayoutVars>
          <dgm:chPref val="1"/>
          <dgm:dir/>
          <dgm:animOne val="branch"/>
          <dgm:animLvl val="lvl"/>
          <dgm:resizeHandles/>
        </dgm:presLayoutVars>
      </dgm:prSet>
      <dgm:spPr/>
      <dgm:t>
        <a:bodyPr/>
        <a:lstStyle/>
        <a:p>
          <a:endParaRPr lang="en-IE"/>
        </a:p>
      </dgm:t>
    </dgm:pt>
    <dgm:pt modelId="{ED803035-20BD-481F-9E7D-BD6FC57A3103}" type="pres">
      <dgm:prSet presAssocID="{07C2775D-FF3B-4BCA-8D8E-12C2F2F6FC2F}" presName="vertOne" presStyleCnt="0"/>
      <dgm:spPr/>
    </dgm:pt>
    <dgm:pt modelId="{E3BB391E-304B-47E2-9098-7091F5967CC1}" type="pres">
      <dgm:prSet presAssocID="{07C2775D-FF3B-4BCA-8D8E-12C2F2F6FC2F}" presName="txOne" presStyleLbl="node0" presStyleIdx="0" presStyleCnt="1">
        <dgm:presLayoutVars>
          <dgm:chPref val="3"/>
        </dgm:presLayoutVars>
      </dgm:prSet>
      <dgm:spPr/>
      <dgm:t>
        <a:bodyPr/>
        <a:lstStyle/>
        <a:p>
          <a:endParaRPr lang="en-IE"/>
        </a:p>
      </dgm:t>
    </dgm:pt>
    <dgm:pt modelId="{DB66EC1C-A91B-4F84-BB8B-361D09923D1E}" type="pres">
      <dgm:prSet presAssocID="{07C2775D-FF3B-4BCA-8D8E-12C2F2F6FC2F}" presName="parTransOne" presStyleCnt="0"/>
      <dgm:spPr/>
    </dgm:pt>
    <dgm:pt modelId="{3B5977CB-80EF-4C67-8B35-47EDC8C61466}" type="pres">
      <dgm:prSet presAssocID="{07C2775D-FF3B-4BCA-8D8E-12C2F2F6FC2F}" presName="horzOne" presStyleCnt="0"/>
      <dgm:spPr/>
    </dgm:pt>
    <dgm:pt modelId="{F26CFC60-A703-4B43-A025-630AA479A62E}" type="pres">
      <dgm:prSet presAssocID="{C11A022F-38FB-4B24-BC9D-9CD65F546B9F}" presName="vertTwo" presStyleCnt="0"/>
      <dgm:spPr/>
    </dgm:pt>
    <dgm:pt modelId="{03711683-864A-4631-9F82-5C6B3D31D3BC}" type="pres">
      <dgm:prSet presAssocID="{C11A022F-38FB-4B24-BC9D-9CD65F546B9F}" presName="txTwo" presStyleLbl="node2" presStyleIdx="0" presStyleCnt="2">
        <dgm:presLayoutVars>
          <dgm:chPref val="3"/>
        </dgm:presLayoutVars>
      </dgm:prSet>
      <dgm:spPr/>
      <dgm:t>
        <a:bodyPr/>
        <a:lstStyle/>
        <a:p>
          <a:endParaRPr lang="en-IE"/>
        </a:p>
      </dgm:t>
    </dgm:pt>
    <dgm:pt modelId="{158093FB-CF98-4E7A-8A3E-C7DAB18A9E0A}" type="pres">
      <dgm:prSet presAssocID="{C11A022F-38FB-4B24-BC9D-9CD65F546B9F}" presName="parTransTwo" presStyleCnt="0"/>
      <dgm:spPr/>
    </dgm:pt>
    <dgm:pt modelId="{6E834494-0348-4CBA-AAAD-0CE30BFB2F88}" type="pres">
      <dgm:prSet presAssocID="{C11A022F-38FB-4B24-BC9D-9CD65F546B9F}" presName="horzTwo" presStyleCnt="0"/>
      <dgm:spPr/>
    </dgm:pt>
    <dgm:pt modelId="{E490C0ED-FA8A-46D5-B572-EA36642F0432}" type="pres">
      <dgm:prSet presAssocID="{1294AC1B-4A26-4640-87D1-9E9B6BAA6ED7}" presName="vertThree" presStyleCnt="0"/>
      <dgm:spPr/>
    </dgm:pt>
    <dgm:pt modelId="{6BB66A70-AAB8-4FCB-B6C6-8681306BD171}" type="pres">
      <dgm:prSet presAssocID="{1294AC1B-4A26-4640-87D1-9E9B6BAA6ED7}" presName="txThree" presStyleLbl="node3" presStyleIdx="0" presStyleCnt="3">
        <dgm:presLayoutVars>
          <dgm:chPref val="3"/>
        </dgm:presLayoutVars>
      </dgm:prSet>
      <dgm:spPr/>
      <dgm:t>
        <a:bodyPr/>
        <a:lstStyle/>
        <a:p>
          <a:endParaRPr lang="en-IE"/>
        </a:p>
      </dgm:t>
    </dgm:pt>
    <dgm:pt modelId="{44DFE77A-65A8-4584-85D7-EEA03C180239}" type="pres">
      <dgm:prSet presAssocID="{1294AC1B-4A26-4640-87D1-9E9B6BAA6ED7}" presName="horzThree" presStyleCnt="0"/>
      <dgm:spPr/>
    </dgm:pt>
    <dgm:pt modelId="{A7081CB5-6FF0-4D2B-8122-72549780997E}" type="pres">
      <dgm:prSet presAssocID="{11E1B84F-7E26-4D04-9C3F-0FCAE737E08B}" presName="sibSpaceThree" presStyleCnt="0"/>
      <dgm:spPr/>
    </dgm:pt>
    <dgm:pt modelId="{30706AB7-DBC9-48F0-8672-A752ACF5F4ED}" type="pres">
      <dgm:prSet presAssocID="{4A01C13D-4C78-43AB-804E-B4F4E7E6342A}" presName="vertThree" presStyleCnt="0"/>
      <dgm:spPr/>
    </dgm:pt>
    <dgm:pt modelId="{06F45298-3D27-4A4F-BD57-0A27D9A1B811}" type="pres">
      <dgm:prSet presAssocID="{4A01C13D-4C78-43AB-804E-B4F4E7E6342A}" presName="txThree" presStyleLbl="node3" presStyleIdx="1" presStyleCnt="3">
        <dgm:presLayoutVars>
          <dgm:chPref val="3"/>
        </dgm:presLayoutVars>
      </dgm:prSet>
      <dgm:spPr/>
      <dgm:t>
        <a:bodyPr/>
        <a:lstStyle/>
        <a:p>
          <a:endParaRPr lang="en-IE"/>
        </a:p>
      </dgm:t>
    </dgm:pt>
    <dgm:pt modelId="{9C5A8E6A-ED41-4945-8F1A-BD22E11D0D42}" type="pres">
      <dgm:prSet presAssocID="{4A01C13D-4C78-43AB-804E-B4F4E7E6342A}" presName="horzThree" presStyleCnt="0"/>
      <dgm:spPr/>
    </dgm:pt>
    <dgm:pt modelId="{CCE3A6C8-88F8-4C51-8A6D-39A77557C0CF}" type="pres">
      <dgm:prSet presAssocID="{B8B923F5-4BF7-4E39-9E1B-A0CB11B72791}" presName="sibSpaceTwo" presStyleCnt="0"/>
      <dgm:spPr/>
    </dgm:pt>
    <dgm:pt modelId="{E09562B4-3E10-4E8F-9A74-3749A66730F7}" type="pres">
      <dgm:prSet presAssocID="{4E637CBF-FC09-404C-B4C8-013F32D1C9EE}" presName="vertTwo" presStyleCnt="0"/>
      <dgm:spPr/>
    </dgm:pt>
    <dgm:pt modelId="{71FD2837-21C1-44CA-887A-8CF01FF366D9}" type="pres">
      <dgm:prSet presAssocID="{4E637CBF-FC09-404C-B4C8-013F32D1C9EE}" presName="txTwo" presStyleLbl="node2" presStyleIdx="1" presStyleCnt="2">
        <dgm:presLayoutVars>
          <dgm:chPref val="3"/>
        </dgm:presLayoutVars>
      </dgm:prSet>
      <dgm:spPr/>
      <dgm:t>
        <a:bodyPr/>
        <a:lstStyle/>
        <a:p>
          <a:endParaRPr lang="en-IE"/>
        </a:p>
      </dgm:t>
    </dgm:pt>
    <dgm:pt modelId="{42D8AF67-BCAD-4845-9C0E-E09F3560AF0D}" type="pres">
      <dgm:prSet presAssocID="{4E637CBF-FC09-404C-B4C8-013F32D1C9EE}" presName="parTransTwo" presStyleCnt="0"/>
      <dgm:spPr/>
    </dgm:pt>
    <dgm:pt modelId="{10F7A193-5C74-4244-A381-F0EDA748EF05}" type="pres">
      <dgm:prSet presAssocID="{4E637CBF-FC09-404C-B4C8-013F32D1C9EE}" presName="horzTwo" presStyleCnt="0"/>
      <dgm:spPr/>
    </dgm:pt>
    <dgm:pt modelId="{F5ED298F-B685-41AE-AD4A-D2FF47ECCE7E}" type="pres">
      <dgm:prSet presAssocID="{344E4E32-1A81-4020-8EDC-B226E4293001}" presName="vertThree" presStyleCnt="0"/>
      <dgm:spPr/>
    </dgm:pt>
    <dgm:pt modelId="{FF34825A-0A54-4D8A-B527-FC7ECBC2D429}" type="pres">
      <dgm:prSet presAssocID="{344E4E32-1A81-4020-8EDC-B226E4293001}" presName="txThree" presStyleLbl="node3" presStyleIdx="2" presStyleCnt="3">
        <dgm:presLayoutVars>
          <dgm:chPref val="3"/>
        </dgm:presLayoutVars>
      </dgm:prSet>
      <dgm:spPr/>
      <dgm:t>
        <a:bodyPr/>
        <a:lstStyle/>
        <a:p>
          <a:endParaRPr lang="en-IE"/>
        </a:p>
      </dgm:t>
    </dgm:pt>
    <dgm:pt modelId="{99193E81-E0A5-4A74-B4DE-C601CECD04C2}" type="pres">
      <dgm:prSet presAssocID="{344E4E32-1A81-4020-8EDC-B226E4293001}" presName="horzThree" presStyleCnt="0"/>
      <dgm:spPr/>
    </dgm:pt>
  </dgm:ptLst>
  <dgm:cxnLst>
    <dgm:cxn modelId="{238FF7A4-9537-475C-AF7E-4A3A583B32D5}" srcId="{4E637CBF-FC09-404C-B4C8-013F32D1C9EE}" destId="{344E4E32-1A81-4020-8EDC-B226E4293001}" srcOrd="0" destOrd="0" parTransId="{E5730537-39D4-4DF8-88BB-35452BB53B0C}" sibTransId="{BE274C27-C9D6-49CE-B275-3B69BB0CAC9E}"/>
    <dgm:cxn modelId="{BCA19FEF-B3BB-4DC2-9BF7-BEB8A838A5E0}" type="presOf" srcId="{4E637CBF-FC09-404C-B4C8-013F32D1C9EE}" destId="{71FD2837-21C1-44CA-887A-8CF01FF366D9}" srcOrd="0" destOrd="0" presId="urn:microsoft.com/office/officeart/2005/8/layout/hierarchy4"/>
    <dgm:cxn modelId="{696391E5-2502-4219-B795-A69E9B6624FD}" type="presOf" srcId="{C11A022F-38FB-4B24-BC9D-9CD65F546B9F}" destId="{03711683-864A-4631-9F82-5C6B3D31D3BC}" srcOrd="0" destOrd="0" presId="urn:microsoft.com/office/officeart/2005/8/layout/hierarchy4"/>
    <dgm:cxn modelId="{B72B925B-3AFC-4189-ACFD-37429EA17EAC}" type="presOf" srcId="{344E4E32-1A81-4020-8EDC-B226E4293001}" destId="{FF34825A-0A54-4D8A-B527-FC7ECBC2D429}" srcOrd="0" destOrd="0" presId="urn:microsoft.com/office/officeart/2005/8/layout/hierarchy4"/>
    <dgm:cxn modelId="{8AAE8E68-6184-4CC5-83A1-F1D3010071B0}" type="presOf" srcId="{1294AC1B-4A26-4640-87D1-9E9B6BAA6ED7}" destId="{6BB66A70-AAB8-4FCB-B6C6-8681306BD171}" srcOrd="0" destOrd="0" presId="urn:microsoft.com/office/officeart/2005/8/layout/hierarchy4"/>
    <dgm:cxn modelId="{C5286587-7B87-483D-8CF2-0232B194ACD1}" srcId="{10F852F3-8299-44A0-9E6A-09BED731450C}" destId="{07C2775D-FF3B-4BCA-8D8E-12C2F2F6FC2F}" srcOrd="0" destOrd="0" parTransId="{DF220FCC-9F62-4D84-850D-B7855B9C5782}" sibTransId="{F442677C-ADFA-4323-944B-509ADDFCCA57}"/>
    <dgm:cxn modelId="{D41B5ACB-2A7E-4FE4-B98E-D5FAB732DE17}" srcId="{07C2775D-FF3B-4BCA-8D8E-12C2F2F6FC2F}" destId="{C11A022F-38FB-4B24-BC9D-9CD65F546B9F}" srcOrd="0" destOrd="0" parTransId="{03A9BD61-ED76-4787-B24D-4665C7AAE532}" sibTransId="{B8B923F5-4BF7-4E39-9E1B-A0CB11B72791}"/>
    <dgm:cxn modelId="{4505F8EE-DC68-4CF3-9156-8DD470A96494}" type="presOf" srcId="{4A01C13D-4C78-43AB-804E-B4F4E7E6342A}" destId="{06F45298-3D27-4A4F-BD57-0A27D9A1B811}" srcOrd="0" destOrd="0" presId="urn:microsoft.com/office/officeart/2005/8/layout/hierarchy4"/>
    <dgm:cxn modelId="{6CBE74EA-AE04-440B-91EA-111D4531C526}" srcId="{C11A022F-38FB-4B24-BC9D-9CD65F546B9F}" destId="{4A01C13D-4C78-43AB-804E-B4F4E7E6342A}" srcOrd="1" destOrd="0" parTransId="{FCD07E35-6DC3-40D5-8353-EC1E3528A62A}" sibTransId="{DE3BCC34-64F7-46E0-BD4E-34B69FAC69B7}"/>
    <dgm:cxn modelId="{1E1127EA-82D2-4F5D-8204-BFEBF7A0783B}" type="presOf" srcId="{10F852F3-8299-44A0-9E6A-09BED731450C}" destId="{5E264703-30BA-494E-A7A3-24BD69492C18}" srcOrd="0" destOrd="0" presId="urn:microsoft.com/office/officeart/2005/8/layout/hierarchy4"/>
    <dgm:cxn modelId="{E3373B96-4285-431D-A26D-038797AF32C4}" srcId="{07C2775D-FF3B-4BCA-8D8E-12C2F2F6FC2F}" destId="{4E637CBF-FC09-404C-B4C8-013F32D1C9EE}" srcOrd="1" destOrd="0" parTransId="{BE038FA3-CF6C-4D5E-8A71-2F61D8C5F668}" sibTransId="{91DF66D9-7A04-413B-83D5-8447611F1B22}"/>
    <dgm:cxn modelId="{8F7F0722-D477-4686-A007-B0560579BE41}" srcId="{C11A022F-38FB-4B24-BC9D-9CD65F546B9F}" destId="{1294AC1B-4A26-4640-87D1-9E9B6BAA6ED7}" srcOrd="0" destOrd="0" parTransId="{42C2F100-6D08-4D44-B9F8-06B99EEDAD6B}" sibTransId="{11E1B84F-7E26-4D04-9C3F-0FCAE737E08B}"/>
    <dgm:cxn modelId="{F831816E-D660-4898-A234-93259E4EFBF9}" type="presOf" srcId="{07C2775D-FF3B-4BCA-8D8E-12C2F2F6FC2F}" destId="{E3BB391E-304B-47E2-9098-7091F5967CC1}" srcOrd="0" destOrd="0" presId="urn:microsoft.com/office/officeart/2005/8/layout/hierarchy4"/>
    <dgm:cxn modelId="{3D60493A-87DF-43D8-BEBC-FF6613A46DCC}" type="presParOf" srcId="{5E264703-30BA-494E-A7A3-24BD69492C18}" destId="{ED803035-20BD-481F-9E7D-BD6FC57A3103}" srcOrd="0" destOrd="0" presId="urn:microsoft.com/office/officeart/2005/8/layout/hierarchy4"/>
    <dgm:cxn modelId="{8834924E-E506-40DF-8312-DF728187C733}" type="presParOf" srcId="{ED803035-20BD-481F-9E7D-BD6FC57A3103}" destId="{E3BB391E-304B-47E2-9098-7091F5967CC1}" srcOrd="0" destOrd="0" presId="urn:microsoft.com/office/officeart/2005/8/layout/hierarchy4"/>
    <dgm:cxn modelId="{14AD3043-7362-4195-A0DA-F174016F3868}" type="presParOf" srcId="{ED803035-20BD-481F-9E7D-BD6FC57A3103}" destId="{DB66EC1C-A91B-4F84-BB8B-361D09923D1E}" srcOrd="1" destOrd="0" presId="urn:microsoft.com/office/officeart/2005/8/layout/hierarchy4"/>
    <dgm:cxn modelId="{0FB10619-E1B4-4023-B6FE-BE8D7547D66A}" type="presParOf" srcId="{ED803035-20BD-481F-9E7D-BD6FC57A3103}" destId="{3B5977CB-80EF-4C67-8B35-47EDC8C61466}" srcOrd="2" destOrd="0" presId="urn:microsoft.com/office/officeart/2005/8/layout/hierarchy4"/>
    <dgm:cxn modelId="{A4717EF9-7F52-4E4E-9C02-DB455C5D10D8}" type="presParOf" srcId="{3B5977CB-80EF-4C67-8B35-47EDC8C61466}" destId="{F26CFC60-A703-4B43-A025-630AA479A62E}" srcOrd="0" destOrd="0" presId="urn:microsoft.com/office/officeart/2005/8/layout/hierarchy4"/>
    <dgm:cxn modelId="{300662B7-49E1-441D-B8E5-89B7DF5E6D5E}" type="presParOf" srcId="{F26CFC60-A703-4B43-A025-630AA479A62E}" destId="{03711683-864A-4631-9F82-5C6B3D31D3BC}" srcOrd="0" destOrd="0" presId="urn:microsoft.com/office/officeart/2005/8/layout/hierarchy4"/>
    <dgm:cxn modelId="{EF149194-0882-481A-95A3-F9E9CD9354E7}" type="presParOf" srcId="{F26CFC60-A703-4B43-A025-630AA479A62E}" destId="{158093FB-CF98-4E7A-8A3E-C7DAB18A9E0A}" srcOrd="1" destOrd="0" presId="urn:microsoft.com/office/officeart/2005/8/layout/hierarchy4"/>
    <dgm:cxn modelId="{CFAB4CA0-83ED-4559-B665-7D4A67FA2E57}" type="presParOf" srcId="{F26CFC60-A703-4B43-A025-630AA479A62E}" destId="{6E834494-0348-4CBA-AAAD-0CE30BFB2F88}" srcOrd="2" destOrd="0" presId="urn:microsoft.com/office/officeart/2005/8/layout/hierarchy4"/>
    <dgm:cxn modelId="{E4BB17FC-3035-4998-8F07-B2546DEB22C2}" type="presParOf" srcId="{6E834494-0348-4CBA-AAAD-0CE30BFB2F88}" destId="{E490C0ED-FA8A-46D5-B572-EA36642F0432}" srcOrd="0" destOrd="0" presId="urn:microsoft.com/office/officeart/2005/8/layout/hierarchy4"/>
    <dgm:cxn modelId="{D6118B0A-5EA0-4E90-A40A-BB17E26635EE}" type="presParOf" srcId="{E490C0ED-FA8A-46D5-B572-EA36642F0432}" destId="{6BB66A70-AAB8-4FCB-B6C6-8681306BD171}" srcOrd="0" destOrd="0" presId="urn:microsoft.com/office/officeart/2005/8/layout/hierarchy4"/>
    <dgm:cxn modelId="{952BDBD3-22BE-47A4-B845-CA0CB0844655}" type="presParOf" srcId="{E490C0ED-FA8A-46D5-B572-EA36642F0432}" destId="{44DFE77A-65A8-4584-85D7-EEA03C180239}" srcOrd="1" destOrd="0" presId="urn:microsoft.com/office/officeart/2005/8/layout/hierarchy4"/>
    <dgm:cxn modelId="{274CBC04-5D35-4095-8222-5A6149E3BAF4}" type="presParOf" srcId="{6E834494-0348-4CBA-AAAD-0CE30BFB2F88}" destId="{A7081CB5-6FF0-4D2B-8122-72549780997E}" srcOrd="1" destOrd="0" presId="urn:microsoft.com/office/officeart/2005/8/layout/hierarchy4"/>
    <dgm:cxn modelId="{C3F488FE-F2A5-46D0-8927-E264925D3BFD}" type="presParOf" srcId="{6E834494-0348-4CBA-AAAD-0CE30BFB2F88}" destId="{30706AB7-DBC9-48F0-8672-A752ACF5F4ED}" srcOrd="2" destOrd="0" presId="urn:microsoft.com/office/officeart/2005/8/layout/hierarchy4"/>
    <dgm:cxn modelId="{23C4EC08-A96F-4797-B1A4-897A677BBBBF}" type="presParOf" srcId="{30706AB7-DBC9-48F0-8672-A752ACF5F4ED}" destId="{06F45298-3D27-4A4F-BD57-0A27D9A1B811}" srcOrd="0" destOrd="0" presId="urn:microsoft.com/office/officeart/2005/8/layout/hierarchy4"/>
    <dgm:cxn modelId="{4F08E4F6-65BE-465B-8561-4C34775A2714}" type="presParOf" srcId="{30706AB7-DBC9-48F0-8672-A752ACF5F4ED}" destId="{9C5A8E6A-ED41-4945-8F1A-BD22E11D0D42}" srcOrd="1" destOrd="0" presId="urn:microsoft.com/office/officeart/2005/8/layout/hierarchy4"/>
    <dgm:cxn modelId="{EEEE5A68-888A-4E2F-8F23-AB008696E7C0}" type="presParOf" srcId="{3B5977CB-80EF-4C67-8B35-47EDC8C61466}" destId="{CCE3A6C8-88F8-4C51-8A6D-39A77557C0CF}" srcOrd="1" destOrd="0" presId="urn:microsoft.com/office/officeart/2005/8/layout/hierarchy4"/>
    <dgm:cxn modelId="{9F3EDF79-72C6-43A3-96D0-69ED8F6178F5}" type="presParOf" srcId="{3B5977CB-80EF-4C67-8B35-47EDC8C61466}" destId="{E09562B4-3E10-4E8F-9A74-3749A66730F7}" srcOrd="2" destOrd="0" presId="urn:microsoft.com/office/officeart/2005/8/layout/hierarchy4"/>
    <dgm:cxn modelId="{44D3A757-83B6-4D9A-860A-E02E087451D6}" type="presParOf" srcId="{E09562B4-3E10-4E8F-9A74-3749A66730F7}" destId="{71FD2837-21C1-44CA-887A-8CF01FF366D9}" srcOrd="0" destOrd="0" presId="urn:microsoft.com/office/officeart/2005/8/layout/hierarchy4"/>
    <dgm:cxn modelId="{B3FF1C17-1906-43E9-9ACA-F31AE58510A5}" type="presParOf" srcId="{E09562B4-3E10-4E8F-9A74-3749A66730F7}" destId="{42D8AF67-BCAD-4845-9C0E-E09F3560AF0D}" srcOrd="1" destOrd="0" presId="urn:microsoft.com/office/officeart/2005/8/layout/hierarchy4"/>
    <dgm:cxn modelId="{72960A97-1050-4856-8B63-969D38C57FA2}" type="presParOf" srcId="{E09562B4-3E10-4E8F-9A74-3749A66730F7}" destId="{10F7A193-5C74-4244-A381-F0EDA748EF05}" srcOrd="2" destOrd="0" presId="urn:microsoft.com/office/officeart/2005/8/layout/hierarchy4"/>
    <dgm:cxn modelId="{CB9BB219-1CC3-47DD-A6FB-38006317D74E}" type="presParOf" srcId="{10F7A193-5C74-4244-A381-F0EDA748EF05}" destId="{F5ED298F-B685-41AE-AD4A-D2FF47ECCE7E}" srcOrd="0" destOrd="0" presId="urn:microsoft.com/office/officeart/2005/8/layout/hierarchy4"/>
    <dgm:cxn modelId="{F5CA9270-EE76-493F-8F73-2E3CB5BC073C}" type="presParOf" srcId="{F5ED298F-B685-41AE-AD4A-D2FF47ECCE7E}" destId="{FF34825A-0A54-4D8A-B527-FC7ECBC2D429}" srcOrd="0" destOrd="0" presId="urn:microsoft.com/office/officeart/2005/8/layout/hierarchy4"/>
    <dgm:cxn modelId="{2E71ED2E-6944-4995-84DF-203108F2E0AC}" type="presParOf" srcId="{F5ED298F-B685-41AE-AD4A-D2FF47ECCE7E}" destId="{99193E81-E0A5-4A74-B4DE-C601CECD04C2}" srcOrd="1" destOrd="0" presId="urn:microsoft.com/office/officeart/2005/8/layout/hierarchy4"/>
  </dgm:cxnLst>
  <dgm:bg/>
  <dgm:whole/>
  <dgm:extLst>
    <a:ext uri="http://schemas.microsoft.com/office/drawing/2008/diagram">
      <dsp:dataModelExt xmlns:dsp="http://schemas.microsoft.com/office/drawing/2008/diagram" relId="rId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3BB391E-304B-47E2-9098-7091F5967CC1}">
      <dsp:nvSpPr>
        <dsp:cNvPr id="0" name=""/>
        <dsp:cNvSpPr/>
      </dsp:nvSpPr>
      <dsp:spPr>
        <a:xfrm>
          <a:off x="629" y="1506"/>
          <a:ext cx="5485140" cy="1001687"/>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6200" tIns="76200" rIns="76200" bIns="76200" numCol="1" spcCol="1270" anchor="ctr" anchorCtr="0">
          <a:noAutofit/>
        </a:bodyPr>
        <a:lstStyle/>
        <a:p>
          <a:pPr lvl="0" algn="ctr" defTabSz="889000">
            <a:lnSpc>
              <a:spcPct val="90000"/>
            </a:lnSpc>
            <a:spcBef>
              <a:spcPct val="0"/>
            </a:spcBef>
            <a:spcAft>
              <a:spcPct val="35000"/>
            </a:spcAft>
          </a:pPr>
          <a:r>
            <a:rPr lang="en-IE" sz="2000" kern="1200"/>
            <a:t>Niall McCarthy, Chairman (BoM)</a:t>
          </a:r>
        </a:p>
      </dsp:txBody>
      <dsp:txXfrm>
        <a:off x="29967" y="30844"/>
        <a:ext cx="5426464" cy="943011"/>
      </dsp:txXfrm>
    </dsp:sp>
    <dsp:sp modelId="{03711683-864A-4631-9F82-5C6B3D31D3BC}">
      <dsp:nvSpPr>
        <dsp:cNvPr id="0" name=""/>
        <dsp:cNvSpPr/>
      </dsp:nvSpPr>
      <dsp:spPr>
        <a:xfrm>
          <a:off x="629" y="1099356"/>
          <a:ext cx="3583063" cy="1001687"/>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2390" tIns="72390" rIns="72390" bIns="72390" numCol="1" spcCol="1270" anchor="ctr" anchorCtr="0">
          <a:noAutofit/>
        </a:bodyPr>
        <a:lstStyle/>
        <a:p>
          <a:pPr lvl="0" algn="ctr" defTabSz="844550">
            <a:lnSpc>
              <a:spcPct val="90000"/>
            </a:lnSpc>
            <a:spcBef>
              <a:spcPct val="0"/>
            </a:spcBef>
            <a:spcAft>
              <a:spcPct val="35000"/>
            </a:spcAft>
          </a:pPr>
          <a:r>
            <a:rPr lang="en-IE" sz="1900" kern="1200"/>
            <a:t>Kieran Kelly (Principal)</a:t>
          </a:r>
        </a:p>
      </dsp:txBody>
      <dsp:txXfrm>
        <a:off x="29967" y="1128694"/>
        <a:ext cx="3524387" cy="943011"/>
      </dsp:txXfrm>
    </dsp:sp>
    <dsp:sp modelId="{6BB66A70-AAB8-4FCB-B6C6-8681306BD171}">
      <dsp:nvSpPr>
        <dsp:cNvPr id="0" name=""/>
        <dsp:cNvSpPr/>
      </dsp:nvSpPr>
      <dsp:spPr>
        <a:xfrm>
          <a:off x="629" y="2197205"/>
          <a:ext cx="1754683" cy="1001687"/>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2390" tIns="72390" rIns="72390" bIns="72390" numCol="1" spcCol="1270" anchor="ctr" anchorCtr="0">
          <a:noAutofit/>
        </a:bodyPr>
        <a:lstStyle/>
        <a:p>
          <a:pPr lvl="0" algn="ctr" defTabSz="844550">
            <a:lnSpc>
              <a:spcPct val="90000"/>
            </a:lnSpc>
            <a:spcBef>
              <a:spcPct val="0"/>
            </a:spcBef>
            <a:spcAft>
              <a:spcPct val="35000"/>
            </a:spcAft>
          </a:pPr>
          <a:r>
            <a:rPr lang="en-IE" sz="1900" kern="1200"/>
            <a:t>All Staff</a:t>
          </a:r>
        </a:p>
      </dsp:txBody>
      <dsp:txXfrm>
        <a:off x="29967" y="2226543"/>
        <a:ext cx="1696007" cy="943011"/>
      </dsp:txXfrm>
    </dsp:sp>
    <dsp:sp modelId="{06F45298-3D27-4A4F-BD57-0A27D9A1B811}">
      <dsp:nvSpPr>
        <dsp:cNvPr id="0" name=""/>
        <dsp:cNvSpPr/>
      </dsp:nvSpPr>
      <dsp:spPr>
        <a:xfrm>
          <a:off x="1829009" y="2197205"/>
          <a:ext cx="1754683" cy="1001687"/>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2390" tIns="72390" rIns="72390" bIns="72390" numCol="1" spcCol="1270" anchor="ctr" anchorCtr="0">
          <a:noAutofit/>
        </a:bodyPr>
        <a:lstStyle/>
        <a:p>
          <a:pPr lvl="0" algn="ctr" defTabSz="844550">
            <a:lnSpc>
              <a:spcPct val="90000"/>
            </a:lnSpc>
            <a:spcBef>
              <a:spcPct val="0"/>
            </a:spcBef>
            <a:spcAft>
              <a:spcPct val="35000"/>
            </a:spcAft>
          </a:pPr>
          <a:r>
            <a:rPr lang="en-IE" sz="1900" kern="1200"/>
            <a:t>Pupils</a:t>
          </a:r>
        </a:p>
      </dsp:txBody>
      <dsp:txXfrm>
        <a:off x="1858347" y="2226543"/>
        <a:ext cx="1696007" cy="943011"/>
      </dsp:txXfrm>
    </dsp:sp>
    <dsp:sp modelId="{71FD2837-21C1-44CA-887A-8CF01FF366D9}">
      <dsp:nvSpPr>
        <dsp:cNvPr id="0" name=""/>
        <dsp:cNvSpPr/>
      </dsp:nvSpPr>
      <dsp:spPr>
        <a:xfrm>
          <a:off x="3731086" y="1099356"/>
          <a:ext cx="1754683" cy="1001687"/>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2390" tIns="72390" rIns="72390" bIns="72390" numCol="1" spcCol="1270" anchor="ctr" anchorCtr="0">
          <a:noAutofit/>
        </a:bodyPr>
        <a:lstStyle/>
        <a:p>
          <a:pPr lvl="0" algn="ctr" defTabSz="844550">
            <a:lnSpc>
              <a:spcPct val="90000"/>
            </a:lnSpc>
            <a:spcBef>
              <a:spcPct val="0"/>
            </a:spcBef>
            <a:spcAft>
              <a:spcPct val="35000"/>
            </a:spcAft>
          </a:pPr>
          <a:r>
            <a:rPr lang="en-IE" sz="1900" kern="1200"/>
            <a:t>Pat Smith (Safety Advisor)</a:t>
          </a:r>
        </a:p>
      </dsp:txBody>
      <dsp:txXfrm>
        <a:off x="3760424" y="1128694"/>
        <a:ext cx="1696007" cy="943011"/>
      </dsp:txXfrm>
    </dsp:sp>
    <dsp:sp modelId="{FF34825A-0A54-4D8A-B527-FC7ECBC2D429}">
      <dsp:nvSpPr>
        <dsp:cNvPr id="0" name=""/>
        <dsp:cNvSpPr/>
      </dsp:nvSpPr>
      <dsp:spPr>
        <a:xfrm>
          <a:off x="3731086" y="2197205"/>
          <a:ext cx="1754683" cy="1001687"/>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2390" tIns="72390" rIns="72390" bIns="72390" numCol="1" spcCol="1270" anchor="ctr" anchorCtr="0">
          <a:noAutofit/>
        </a:bodyPr>
        <a:lstStyle/>
        <a:p>
          <a:pPr lvl="0" algn="ctr" defTabSz="844550">
            <a:lnSpc>
              <a:spcPct val="90000"/>
            </a:lnSpc>
            <a:spcBef>
              <a:spcPct val="0"/>
            </a:spcBef>
            <a:spcAft>
              <a:spcPct val="35000"/>
            </a:spcAft>
          </a:pPr>
          <a:r>
            <a:rPr lang="en-IE" sz="1900" kern="1200"/>
            <a:t>All Visitors and Contractors</a:t>
          </a:r>
        </a:p>
      </dsp:txBody>
      <dsp:txXfrm>
        <a:off x="3760424" y="2226543"/>
        <a:ext cx="1696007" cy="943011"/>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4">
  <dgm:title val=""/>
  <dgm:desc val=""/>
  <dgm:catLst>
    <dgm:cat type="hierarchy" pri="4000"/>
    <dgm:cat type="list" pri="24000"/>
    <dgm:cat type="relationship" pri="10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Name0">
    <dgm:varLst>
      <dgm:chPref val="1"/>
      <dgm:dir/>
      <dgm:animOne val="branch"/>
      <dgm:animLvl val="lvl"/>
      <dgm:resizeHandles/>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w" for="ch" forName="vertOne" refType="w"/>
      <dgm:constr type="w" for="des" forName="horzOne" refType="w"/>
      <dgm:constr type="w" for="des" forName="txOne" refType="w"/>
      <dgm:constr type="w" for="des" forName="vertTwo" refType="w"/>
      <dgm:constr type="w" for="des" forName="horzTwo" refType="w"/>
      <dgm:constr type="w" for="des" forName="txTwo" refType="w"/>
      <dgm:constr type="w" for="des" forName="vertThree" refType="w"/>
      <dgm:constr type="w" for="des" forName="horzThree" refType="w"/>
      <dgm:constr type="w" for="des" forName="txThree" refType="w"/>
      <dgm:constr type="w" for="des" forName="vertFour" refType="w"/>
      <dgm:constr type="w" for="des" forName="horzFour" refType="w"/>
      <dgm:constr type="w" for="des" forName="txFour" refType="w"/>
      <dgm:constr type="h" for="des" ptType="node" op="equ"/>
      <dgm:constr type="h" for="des" forName="txOne" refType="h"/>
      <dgm:constr type="userH" for="des" ptType="node" refType="h" refFor="des" refForName="txOne"/>
      <dgm:constr type="primFontSz" for="des" forName="txOne" val="65"/>
      <dgm:constr type="primFontSz" for="des" forName="txTwo" val="65"/>
      <dgm:constr type="primFontSz" for="des" forName="txTwo" refType="primFontSz" refFor="des" refForName="txOne" op="lte"/>
      <dgm:constr type="primFontSz" for="des" forName="txThree" val="65"/>
      <dgm:constr type="primFontSz" for="des" forName="txThree" refType="primFontSz" refFor="des" refForName="txOne" op="lte"/>
      <dgm:constr type="primFontSz" for="des" forName="txThree" refType="primFontSz" refFor="des" refForName="txTwo" op="lte"/>
      <dgm:constr type="primFontSz" for="des" forName="txFour" val="65"/>
      <dgm:constr type="primFontSz" for="des" forName="txFour" refType="primFontSz" refFor="des" refForName="txOne" op="lte"/>
      <dgm:constr type="primFontSz" for="des" forName="txFour" refType="primFontSz" refFor="des" refForName="txTwo" op="lte"/>
      <dgm:constr type="primFontSz" for="des" forName="txFour" refType="primFontSz" refFor="des" refForName="txThree" op="lte"/>
      <dgm:constr type="w" for="des" forName="sibSpaceOne" refType="w" fact="0.168"/>
      <dgm:constr type="w" for="des" forName="sibSpaceTwo" refType="w" refFor="des" refForName="sibSpaceOne" op="equ" fact="0.5"/>
      <dgm:constr type="w" for="des" forName="sibSpaceThree" refType="w" refFor="des" refForName="sibSpaceTwo" op="equ" fact="0.5"/>
      <dgm:constr type="w" for="des" forName="sibSpaceFour" refType="w" refFor="des" refForName="sibSpaceThree" op="equ" fact="0.5"/>
      <dgm:constr type="h" for="des" forName="parTransOne" refType="w" fact="0.056"/>
      <dgm:constr type="h" for="des" forName="parTransTwo" refType="h" refFor="des" refForName="parTransOne" op="equ"/>
      <dgm:constr type="h" for="des" forName="parTransThree" refType="h" refFor="des" refForName="parTransTwo" op="equ"/>
      <dgm:constr type="h" for="des" forName="parTransFour" refType="h" refFor="des" refForName="parTransThree" op="equ"/>
    </dgm:constrLst>
    <dgm:ruleLst/>
    <dgm:forEach name="Name4" axis="ch" ptType="node">
      <dgm:layoutNode name="vertOne">
        <dgm:alg type="lin">
          <dgm:param type="linDir" val="fromT"/>
        </dgm:alg>
        <dgm:shape xmlns:r="http://schemas.openxmlformats.org/officeDocument/2006/relationships" r:blip="">
          <dgm:adjLst/>
        </dgm:shape>
        <dgm:presOf/>
        <dgm:constrLst>
          <dgm:constr type="w" for="ch" forName="txOne" refType="w" refFor="ch" refForName="horzOne" op="gte"/>
        </dgm:constrLst>
        <dgm:ruleLst/>
        <dgm:layoutNode name="txOn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5">
          <dgm:if name="Name6" axis="des" ptType="node" func="cnt" op="gt" val="0">
            <dgm:layoutNode name="parTransOne">
              <dgm:alg type="sp"/>
              <dgm:shape xmlns:r="http://schemas.openxmlformats.org/officeDocument/2006/relationships" r:blip="">
                <dgm:adjLst/>
              </dgm:shape>
              <dgm:presOf/>
              <dgm:constrLst/>
              <dgm:ruleLst/>
            </dgm:layoutNode>
          </dgm:if>
          <dgm:else name="Name7"/>
        </dgm:choose>
        <dgm:layoutNode name="horzOne">
          <dgm:choose name="Name8">
            <dgm:if name="Name9" func="var" arg="dir" op="equ" val="norm">
              <dgm:alg type="lin">
                <dgm:param type="linDir" val="fromL"/>
                <dgm:param type="nodeVertAlign" val="t"/>
              </dgm:alg>
            </dgm:if>
            <dgm:else name="Name1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1" axis="ch" ptType="node">
            <dgm:layoutNode name="vertTwo">
              <dgm:alg type="lin">
                <dgm:param type="linDir" val="fromT"/>
              </dgm:alg>
              <dgm:shape xmlns:r="http://schemas.openxmlformats.org/officeDocument/2006/relationships" r:blip="">
                <dgm:adjLst/>
              </dgm:shape>
              <dgm:presOf/>
              <dgm:constrLst>
                <dgm:constr type="w" for="ch" forName="txTwo" refType="w" refFor="ch" refForName="horzTwo" op="gte"/>
              </dgm:constrLst>
              <dgm:ruleLst/>
              <dgm:layoutNode name="txTwo">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2">
                <dgm:if name="Name13" axis="des" ptType="node" func="cnt" op="gt" val="0">
                  <dgm:layoutNode name="parTransTwo">
                    <dgm:alg type="sp"/>
                    <dgm:shape xmlns:r="http://schemas.openxmlformats.org/officeDocument/2006/relationships" r:blip="">
                      <dgm:adjLst/>
                    </dgm:shape>
                    <dgm:presOf/>
                    <dgm:constrLst/>
                    <dgm:ruleLst/>
                  </dgm:layoutNode>
                </dgm:if>
                <dgm:else name="Name14"/>
              </dgm:choose>
              <dgm:layoutNode name="horzTwo">
                <dgm:choose name="Name15">
                  <dgm:if name="Name16" func="var" arg="dir" op="equ" val="norm">
                    <dgm:alg type="lin">
                      <dgm:param type="linDir" val="fromL"/>
                      <dgm:param type="nodeVertAlign" val="t"/>
                    </dgm:alg>
                  </dgm:if>
                  <dgm:else name="Name17">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8" axis="ch" ptType="node">
                  <dgm:layoutNode name="vertThree">
                    <dgm:alg type="lin">
                      <dgm:param type="linDir" val="fromT"/>
                    </dgm:alg>
                    <dgm:shape xmlns:r="http://schemas.openxmlformats.org/officeDocument/2006/relationships" r:blip="">
                      <dgm:adjLst/>
                    </dgm:shape>
                    <dgm:presOf/>
                    <dgm:constrLst>
                      <dgm:constr type="w" for="ch" forName="txThree" refType="w" refFor="ch" refForName="horzThree" op="gte"/>
                    </dgm:constrLst>
                    <dgm:ruleLst/>
                    <dgm:layoutNode name="txThree">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9">
                      <dgm:if name="Name20" axis="des" ptType="node" func="cnt" op="gt" val="0">
                        <dgm:layoutNode name="parTransThree">
                          <dgm:alg type="sp"/>
                          <dgm:shape xmlns:r="http://schemas.openxmlformats.org/officeDocument/2006/relationships" r:blip="">
                            <dgm:adjLst/>
                          </dgm:shape>
                          <dgm:presOf/>
                          <dgm:constrLst/>
                          <dgm:ruleLst/>
                        </dgm:layoutNode>
                      </dgm:if>
                      <dgm:else name="Name21"/>
                    </dgm:choose>
                    <dgm:layoutNode name="horzThree">
                      <dgm:choose name="Name22">
                        <dgm:if name="Name23" func="var" arg="dir" op="equ" val="norm">
                          <dgm:alg type="lin">
                            <dgm:param type="linDir" val="fromL"/>
                            <dgm:param type="nodeVertAlign" val="t"/>
                          </dgm:alg>
                        </dgm:if>
                        <dgm:else name="Name24">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repeat" axis="ch" ptType="node">
                        <dgm:layoutNode name="vertFour">
                          <dgm:varLst>
                            <dgm:chPref val="3"/>
                          </dgm:varLst>
                          <dgm:alg type="lin">
                            <dgm:param type="linDir" val="fromT"/>
                          </dgm:alg>
                          <dgm:shape xmlns:r="http://schemas.openxmlformats.org/officeDocument/2006/relationships" r:blip="">
                            <dgm:adjLst/>
                          </dgm:shape>
                          <dgm:presOf/>
                          <dgm:constrLst>
                            <dgm:constr type="w" for="ch" forName="txFour" refType="w" refFor="ch" refForName="horzFour" op="gte"/>
                          </dgm:constrLst>
                          <dgm:ruleLst/>
                          <dgm:layoutNode name="txFour">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25">
                            <dgm:if name="Name26" axis="des" ptType="node" func="cnt" op="gt" val="0">
                              <dgm:layoutNode name="parTransFour">
                                <dgm:alg type="sp"/>
                                <dgm:shape xmlns:r="http://schemas.openxmlformats.org/officeDocument/2006/relationships" r:blip="">
                                  <dgm:adjLst/>
                                </dgm:shape>
                                <dgm:presOf/>
                                <dgm:constrLst/>
                                <dgm:ruleLst/>
                              </dgm:layoutNode>
                            </dgm:if>
                            <dgm:else name="Name27"/>
                          </dgm:choose>
                          <dgm:layoutNode name="horzFour">
                            <dgm:choose name="Name28">
                              <dgm:if name="Name29" func="var" arg="dir" op="equ" val="norm">
                                <dgm:alg type="lin">
                                  <dgm:param type="linDir" val="fromL"/>
                                  <dgm:param type="nodeVertAlign" val="t"/>
                                </dgm:alg>
                              </dgm:if>
                              <dgm:else name="Name3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31" ref="repeat"/>
                          </dgm:layoutNode>
                        </dgm:layoutNode>
                        <dgm:choose name="Name32">
                          <dgm:if name="Name33" axis="self" ptType="node" func="revPos" op="gte" val="2">
                            <dgm:forEach name="Name34" axis="followSib" ptType="sibTrans" cnt="1">
                              <dgm:layoutNode name="sibSpaceFour">
                                <dgm:alg type="sp"/>
                                <dgm:shape xmlns:r="http://schemas.openxmlformats.org/officeDocument/2006/relationships" r:blip="">
                                  <dgm:adjLst/>
                                </dgm:shape>
                                <dgm:presOf/>
                                <dgm:constrLst/>
                                <dgm:ruleLst/>
                              </dgm:layoutNode>
                            </dgm:forEach>
                          </dgm:if>
                          <dgm:else name="Name35"/>
                        </dgm:choose>
                      </dgm:forEach>
                    </dgm:layoutNode>
                  </dgm:layoutNode>
                  <dgm:choose name="Name36">
                    <dgm:if name="Name37" axis="self" ptType="node" func="revPos" op="gte" val="2">
                      <dgm:forEach name="Name38" axis="followSib" ptType="sibTrans" cnt="1">
                        <dgm:layoutNode name="sibSpaceThree">
                          <dgm:alg type="sp"/>
                          <dgm:shape xmlns:r="http://schemas.openxmlformats.org/officeDocument/2006/relationships" r:blip="">
                            <dgm:adjLst/>
                          </dgm:shape>
                          <dgm:presOf/>
                          <dgm:constrLst/>
                          <dgm:ruleLst/>
                        </dgm:layoutNode>
                      </dgm:forEach>
                    </dgm:if>
                    <dgm:else name="Name39"/>
                  </dgm:choose>
                </dgm:forEach>
              </dgm:layoutNode>
            </dgm:layoutNode>
            <dgm:choose name="Name40">
              <dgm:if name="Name41" axis="self" ptType="node" func="revPos" op="gte" val="2">
                <dgm:forEach name="Name42" axis="followSib" ptType="sibTrans" cnt="1">
                  <dgm:layoutNode name="sibSpaceTwo">
                    <dgm:alg type="sp"/>
                    <dgm:shape xmlns:r="http://schemas.openxmlformats.org/officeDocument/2006/relationships" r:blip="">
                      <dgm:adjLst/>
                    </dgm:shape>
                    <dgm:presOf/>
                    <dgm:constrLst/>
                    <dgm:ruleLst/>
                  </dgm:layoutNode>
                </dgm:forEach>
              </dgm:if>
              <dgm:else name="Name43"/>
            </dgm:choose>
          </dgm:forEach>
        </dgm:layoutNode>
      </dgm:layoutNode>
      <dgm:choose name="Name44">
        <dgm:if name="Name45" axis="self" ptType="node" func="revPos" op="gte" val="2">
          <dgm:forEach name="Name46" axis="followSib" ptType="sibTrans" cnt="1">
            <dgm:layoutNode name="sibSpaceOne">
              <dgm:alg type="sp"/>
              <dgm:shape xmlns:r="http://schemas.openxmlformats.org/officeDocument/2006/relationships" r:blip="">
                <dgm:adjLst/>
              </dgm:shape>
              <dgm:presOf/>
              <dgm:constrLst/>
              <dgm:ruleLst/>
            </dgm:layoutNode>
          </dgm:forEach>
        </dgm:if>
        <dgm:else name="Name47"/>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351F9A-3E5D-458F-B7F6-3FE74C3D9D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Application>LibreOffice/5.3.3.2$Windows_x86 LibreOffice_project/3d9a8b4b4e538a85e0782bd6c2d430bafe583448</Application>
  <Pages>49</Pages>
  <Words>17067</Words>
  <Characters>91059</Characters>
  <CharactersWithSpaces>107409</CharactersWithSpaces>
  <Paragraphs>926</Paragraphs>
  <Company>Hewlett-Packard</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2017-05-07T19:20:00Z</dcterms:created>
  <dc:creator>Liam Higgins B.Sc, Grad IOSH, MIIRSM</dc:creator>
  <dc:description/>
  <dc:language>en-IE</dc:language>
  <cp:lastModifiedBy>Joe Harrington</cp:lastModifiedBy>
  <cp:lastPrinted>2009-05-19T17:03:00Z</cp:lastPrinted>
  <dcterms:modified xsi:type="dcterms:W3CDTF">2017-05-07T19:20:00Z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Hewlett-Packard</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